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Heading1"/>
        <w:bidi w:val="0"/>
        <w:spacing w:before="240" w:after="120"/>
        <w:jc w:val="start"/>
        <w:rPr>
          <w:sz w:val="40"/>
          <w:szCs w:val="40"/>
        </w:rPr>
      </w:pPr>
      <w:r>
        <w:rPr>
          <w:sz w:val="40"/>
          <w:szCs w:val="40"/>
        </w:rPr>
        <w:t>Introductory Clinical Trial Management Training</w:t>
      </w:r>
    </w:p>
    <w:p>
      <w:pPr>
        <w:pStyle w:val="BodyText"/>
        <w:bidi w:val="0"/>
        <w:spacing w:lineRule="auto" w:line="276" w:before="0" w:after="140"/>
        <w:jc w:val="start"/>
        <w:rPr/>
      </w:pPr>
      <w:r>
        <w:rPr>
          <w:rStyle w:val="Strong"/>
        </w:rPr>
        <w:t>Target audience:</w:t>
      </w:r>
      <w:r>
        <w:rPr/>
        <w:t xml:space="preserve"> Master's &amp; PhD students | </w:t>
      </w:r>
      <w:r>
        <w:rPr>
          <w:rStyle w:val="Strong"/>
        </w:rPr>
        <w:t>Format:</w:t>
      </w:r>
      <w:r>
        <w:rPr/>
        <w:t xml:space="preserve"> Passive video clips | </w:t>
      </w:r>
      <w:r>
        <w:rPr>
          <w:rStyle w:val="Strong"/>
        </w:rPr>
        <w:t>Duration:</w:t>
      </w:r>
      <w:r>
        <w:rPr/>
        <w:t xml:space="preserve"> ~2–3 hours total</w:t>
      </w:r>
    </w:p>
    <w:p>
      <w:pPr>
        <w:pStyle w:val="HorizontalLine"/>
        <w:suppressLineNumbers/>
        <w:pBdr>
          <w:bottom w:val="double" w:sz="2" w:space="0" w:color="808080"/>
        </w:pBdr>
        <w:bidi w:val="0"/>
        <w:spacing w:before="0" w:after="283"/>
        <w:jc w:val="start"/>
        <w:rPr/>
      </w:pPr>
      <w:r>
        <w:rPr/>
      </w:r>
    </w:p>
    <w:p>
      <w:pPr>
        <w:pStyle w:val="Heading3"/>
        <w:numPr>
          <w:ilvl w:val="0"/>
          <w:numId w:val="0"/>
        </w:numPr>
        <w:bidi w:val="0"/>
        <w:spacing w:before="140" w:after="120"/>
        <w:jc w:val="start"/>
        <w:rPr/>
      </w:pPr>
      <w:r>
        <w:rPr/>
        <w:t>1. Welcome &amp; Learning Objectives</w:t>
      </w:r>
    </w:p>
    <w:p>
      <w:pPr>
        <w:pStyle w:val="BodyText"/>
        <w:numPr>
          <w:ilvl w:val="0"/>
          <w:numId w:val="2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 xml:space="preserve">Purpose of the training </w:t>
      </w:r>
    </w:p>
    <w:p>
      <w:pPr>
        <w:pStyle w:val="BodyText"/>
        <w:numPr>
          <w:ilvl w:val="0"/>
          <w:numId w:val="2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 xml:space="preserve">What "clinical trial management" means in practice </w:t>
      </w:r>
    </w:p>
    <w:p>
      <w:pPr>
        <w:pStyle w:val="BodyText"/>
        <w:numPr>
          <w:ilvl w:val="0"/>
          <w:numId w:val="2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 xml:space="preserve">How CTMS tools fit into academic research workflows </w:t>
      </w:r>
    </w:p>
    <w:p>
      <w:pPr>
        <w:pStyle w:val="BodyText"/>
        <w:numPr>
          <w:ilvl w:val="0"/>
          <w:numId w:val="2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/>
        <w:t xml:space="preserve">Scope clarification: primary data collection trials </w:t>
      </w:r>
    </w:p>
    <w:p>
      <w:pPr>
        <w:pStyle w:val="HorizontalLine"/>
        <w:suppressLineNumbers/>
        <w:pBdr>
          <w:bottom w:val="double" w:sz="2" w:space="0" w:color="808080"/>
        </w:pBdr>
        <w:bidi w:val="0"/>
        <w:spacing w:before="0" w:after="283"/>
        <w:jc w:val="start"/>
        <w:rPr/>
      </w:pPr>
      <w:r>
        <w:rPr/>
      </w:r>
    </w:p>
    <w:p>
      <w:pPr>
        <w:pStyle w:val="Heading3"/>
        <w:numPr>
          <w:ilvl w:val="0"/>
          <w:numId w:val="0"/>
        </w:numPr>
        <w:bidi w:val="0"/>
        <w:spacing w:before="140" w:after="120"/>
        <w:jc w:val="start"/>
        <w:rPr/>
      </w:pPr>
      <w:r>
        <w:rPr/>
        <w:t>2. Foundations of Clinical Trials</w:t>
      </w:r>
    </w:p>
    <w:p>
      <w:pPr>
        <w:pStyle w:val="BodyText"/>
        <w:numPr>
          <w:ilvl w:val="0"/>
          <w:numId w:val="3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 xml:space="preserve">Clinical trial phases (I–IV) and study types (interventional, observational, registry, case-control) </w:t>
      </w:r>
    </w:p>
    <w:p>
      <w:pPr>
        <w:pStyle w:val="BodyText"/>
        <w:numPr>
          <w:ilvl w:val="0"/>
          <w:numId w:val="3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 xml:space="preserve">Key terminology: protocol, arm/cohort, subject, endpoint, biomarker, inclusion/exclusion criteria </w:t>
      </w:r>
    </w:p>
    <w:p>
      <w:pPr>
        <w:pStyle w:val="BodyText"/>
        <w:numPr>
          <w:ilvl w:val="0"/>
          <w:numId w:val="3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 xml:space="preserve">Roles and responsibilities in a clinical study (Principal Investigator, Co-Investigators, Study Coordinators, Data Managers) </w:t>
      </w:r>
    </w:p>
    <w:p>
      <w:pPr>
        <w:pStyle w:val="BodyText"/>
        <w:numPr>
          <w:ilvl w:val="0"/>
          <w:numId w:val="3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/>
        <w:t xml:space="preserve">Ethics oversight bodies (IRBs, Ethics Committees) and their function </w:t>
      </w:r>
    </w:p>
    <w:p>
      <w:pPr>
        <w:pStyle w:val="HorizontalLine"/>
        <w:suppressLineNumbers/>
        <w:pBdr>
          <w:bottom w:val="double" w:sz="2" w:space="0" w:color="808080"/>
        </w:pBdr>
        <w:bidi w:val="0"/>
        <w:spacing w:before="0" w:after="283"/>
        <w:jc w:val="start"/>
        <w:rPr/>
      </w:pPr>
      <w:r>
        <w:rPr/>
      </w:r>
    </w:p>
    <w:p>
      <w:pPr>
        <w:pStyle w:val="Heading3"/>
        <w:numPr>
          <w:ilvl w:val="0"/>
          <w:numId w:val="0"/>
        </w:numPr>
        <w:bidi w:val="0"/>
        <w:spacing w:before="140" w:after="120"/>
        <w:jc w:val="start"/>
        <w:rPr/>
      </w:pPr>
      <w:r>
        <w:rPr/>
        <w:t>3. Overview of the Clinical Trial Lifecycle</w:t>
      </w:r>
    </w:p>
    <w:p>
      <w:pPr>
        <w:pStyle w:val="BodyText"/>
        <w:numPr>
          <w:ilvl w:val="0"/>
          <w:numId w:val="4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 xml:space="preserve">Study conception and protocol development </w:t>
      </w:r>
    </w:p>
    <w:p>
      <w:pPr>
        <w:pStyle w:val="BodyText"/>
        <w:numPr>
          <w:ilvl w:val="0"/>
          <w:numId w:val="4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 xml:space="preserve">Regulatory and ethics approval </w:t>
      </w:r>
    </w:p>
    <w:p>
      <w:pPr>
        <w:pStyle w:val="BodyText"/>
        <w:numPr>
          <w:ilvl w:val="0"/>
          <w:numId w:val="4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 xml:space="preserve">Study setup and activation </w:t>
      </w:r>
    </w:p>
    <w:p>
      <w:pPr>
        <w:pStyle w:val="BodyText"/>
        <w:numPr>
          <w:ilvl w:val="0"/>
          <w:numId w:val="4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 xml:space="preserve">Recruitment, enrollment, and retention </w:t>
      </w:r>
    </w:p>
    <w:p>
      <w:pPr>
        <w:pStyle w:val="BodyText"/>
        <w:numPr>
          <w:ilvl w:val="0"/>
          <w:numId w:val="4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 xml:space="preserve">Data collection and monitoring </w:t>
      </w:r>
    </w:p>
    <w:p>
      <w:pPr>
        <w:pStyle w:val="BodyText"/>
        <w:numPr>
          <w:ilvl w:val="0"/>
          <w:numId w:val="4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 xml:space="preserve">Analysis, closeout, and reporting </w:t>
      </w:r>
    </w:p>
    <w:p>
      <w:pPr>
        <w:pStyle w:val="BodyText"/>
        <w:numPr>
          <w:ilvl w:val="0"/>
          <w:numId w:val="4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/>
        <w:t xml:space="preserve">Lifecycle as iterative process (amendments, protocol deviations) </w:t>
      </w:r>
    </w:p>
    <w:p>
      <w:pPr>
        <w:pStyle w:val="HorizontalLine"/>
        <w:suppressLineNumbers/>
        <w:pBdr>
          <w:bottom w:val="double" w:sz="2" w:space="0" w:color="808080"/>
        </w:pBdr>
        <w:bidi w:val="0"/>
        <w:spacing w:before="0" w:after="283"/>
        <w:jc w:val="start"/>
        <w:rPr/>
      </w:pPr>
      <w:r>
        <w:rPr/>
      </w:r>
    </w:p>
    <w:p>
      <w:pPr>
        <w:pStyle w:val="Heading3"/>
        <w:numPr>
          <w:ilvl w:val="0"/>
          <w:numId w:val="0"/>
        </w:numPr>
        <w:bidi w:val="0"/>
        <w:spacing w:before="140" w:after="120"/>
        <w:jc w:val="start"/>
        <w:rPr/>
      </w:pPr>
      <w:r>
        <w:rPr/>
        <w:t>4. Introduction to CTMS Concepts</w:t>
      </w:r>
    </w:p>
    <w:p>
      <w:pPr>
        <w:pStyle w:val="BodyText"/>
        <w:numPr>
          <w:ilvl w:val="0"/>
          <w:numId w:val="5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 xml:space="preserve">What a CTMS is and why it's used </w:t>
      </w:r>
    </w:p>
    <w:p>
      <w:pPr>
        <w:pStyle w:val="BodyText"/>
        <w:numPr>
          <w:ilvl w:val="0"/>
          <w:numId w:val="5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 xml:space="preserve">Problems CTMS solves: fragmented data, audit gaps, compliance burden </w:t>
      </w:r>
    </w:p>
    <w:p>
      <w:pPr>
        <w:pStyle w:val="BodyText"/>
        <w:numPr>
          <w:ilvl w:val="0"/>
          <w:numId w:val="5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 xml:space="preserve">Core CTMS modules: study configuration, subject management, data capture, analytics, audit trails, financial tracking </w:t>
      </w:r>
    </w:p>
    <w:p>
      <w:pPr>
        <w:pStyle w:val="BodyText"/>
        <w:numPr>
          <w:ilvl w:val="0"/>
          <w:numId w:val="5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 xml:space="preserve">Mapping real-world trial activities to CTMS functions </w:t>
      </w:r>
    </w:p>
    <w:p>
      <w:pPr>
        <w:pStyle w:val="BodyText"/>
        <w:numPr>
          <w:ilvl w:val="0"/>
          <w:numId w:val="5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 xml:space="preserve">CTMS vs. EDC vs. EHR: clarifying distinctions </w:t>
      </w:r>
    </w:p>
    <w:p>
      <w:pPr>
        <w:pStyle w:val="BodyText"/>
        <w:numPr>
          <w:ilvl w:val="0"/>
          <w:numId w:val="5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/>
        <w:t xml:space="preserve">Open-source vs. commercial platforms: considerations for academic research </w:t>
      </w:r>
    </w:p>
    <w:p>
      <w:pPr>
        <w:pStyle w:val="HorizontalLine"/>
        <w:suppressLineNumbers/>
        <w:pBdr>
          <w:bottom w:val="double" w:sz="2" w:space="0" w:color="808080"/>
        </w:pBdr>
        <w:bidi w:val="0"/>
        <w:spacing w:before="0" w:after="283"/>
        <w:jc w:val="start"/>
        <w:rPr/>
      </w:pPr>
      <w:r>
        <w:rPr/>
      </w:r>
    </w:p>
    <w:p>
      <w:pPr>
        <w:pStyle w:val="Heading3"/>
        <w:numPr>
          <w:ilvl w:val="0"/>
          <w:numId w:val="0"/>
        </w:numPr>
        <w:bidi w:val="0"/>
        <w:spacing w:before="140" w:after="120"/>
        <w:jc w:val="start"/>
        <w:rPr/>
      </w:pPr>
      <w:r>
        <w:rPr/>
        <w:t>5. Study Setup, Structure, and Configuration</w:t>
      </w:r>
    </w:p>
    <w:p>
      <w:pPr>
        <w:pStyle w:val="BodyText"/>
        <w:numPr>
          <w:ilvl w:val="0"/>
          <w:numId w:val="6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 xml:space="preserve">Defining study objectives, metadata, and core settings </w:t>
      </w:r>
    </w:p>
    <w:p>
      <w:pPr>
        <w:pStyle w:val="BodyText"/>
        <w:numPr>
          <w:ilvl w:val="0"/>
          <w:numId w:val="6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 xml:space="preserve">Selecting study type and configuring data collection scope </w:t>
      </w:r>
    </w:p>
    <w:p>
      <w:pPr>
        <w:pStyle w:val="BodyText"/>
        <w:numPr>
          <w:ilvl w:val="0"/>
          <w:numId w:val="6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 xml:space="preserve">Study documents: protocols, consent forms, and document management </w:t>
      </w:r>
    </w:p>
    <w:p>
      <w:pPr>
        <w:pStyle w:val="BodyText"/>
        <w:numPr>
          <w:ilvl w:val="0"/>
          <w:numId w:val="6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 xml:space="preserve">Defining study arms/cohorts and comparators </w:t>
      </w:r>
    </w:p>
    <w:p>
      <w:pPr>
        <w:pStyle w:val="BodyText"/>
        <w:numPr>
          <w:ilvl w:val="0"/>
          <w:numId w:val="6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 xml:space="preserve">Planning visits, timepoints, and assessment schedules </w:t>
      </w:r>
    </w:p>
    <w:p>
      <w:pPr>
        <w:pStyle w:val="BodyText"/>
        <w:numPr>
          <w:ilvl w:val="0"/>
          <w:numId w:val="6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 xml:space="preserve">Configuring allowed data types and outcome measures </w:t>
      </w:r>
    </w:p>
    <w:p>
      <w:pPr>
        <w:pStyle w:val="BodyText"/>
        <w:numPr>
          <w:ilvl w:val="0"/>
          <w:numId w:val="6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 xml:space="preserve">Relationship between protocol design and system configuration </w:t>
      </w:r>
    </w:p>
    <w:p>
      <w:pPr>
        <w:pStyle w:val="BodyText"/>
        <w:numPr>
          <w:ilvl w:val="0"/>
          <w:numId w:val="6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 xml:space="preserve">Managing amendments and configuration changes over time </w:t>
      </w:r>
    </w:p>
    <w:p>
      <w:pPr>
        <w:pStyle w:val="BodyText"/>
        <w:numPr>
          <w:ilvl w:val="0"/>
          <w:numId w:val="6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/>
        <w:t xml:space="preserve">Common design pitfalls and best practices </w:t>
      </w:r>
    </w:p>
    <w:p>
      <w:pPr>
        <w:pStyle w:val="HorizontalLine"/>
        <w:suppressLineNumbers/>
        <w:pBdr>
          <w:bottom w:val="double" w:sz="2" w:space="0" w:color="808080"/>
        </w:pBdr>
        <w:bidi w:val="0"/>
        <w:spacing w:before="0" w:after="283"/>
        <w:jc w:val="start"/>
        <w:rPr/>
      </w:pPr>
      <w:r>
        <w:rPr/>
      </w:r>
    </w:p>
    <w:p>
      <w:pPr>
        <w:pStyle w:val="Heading3"/>
        <w:numPr>
          <w:ilvl w:val="0"/>
          <w:numId w:val="0"/>
        </w:numPr>
        <w:bidi w:val="0"/>
        <w:spacing w:before="140" w:after="120"/>
        <w:jc w:val="start"/>
        <w:rPr/>
      </w:pPr>
      <w:r>
        <w:rPr/>
        <w:t>6. Research Team &amp; Role Management</w:t>
      </w:r>
    </w:p>
    <w:p>
      <w:pPr>
        <w:pStyle w:val="BodyText"/>
        <w:numPr>
          <w:ilvl w:val="0"/>
          <w:numId w:val="7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 xml:space="preserve">Assigning study roles and permissions </w:t>
      </w:r>
    </w:p>
    <w:p>
      <w:pPr>
        <w:pStyle w:val="BodyText"/>
        <w:numPr>
          <w:ilvl w:val="0"/>
          <w:numId w:val="7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 xml:space="preserve">Responsibilities of the Principal Investigator </w:t>
      </w:r>
    </w:p>
    <w:p>
      <w:pPr>
        <w:pStyle w:val="BodyText"/>
        <w:numPr>
          <w:ilvl w:val="0"/>
          <w:numId w:val="7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 xml:space="preserve">Delegation logs and accountability </w:t>
      </w:r>
    </w:p>
    <w:p>
      <w:pPr>
        <w:pStyle w:val="BodyText"/>
        <w:numPr>
          <w:ilvl w:val="0"/>
          <w:numId w:val="7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 xml:space="preserve">Managing multi-site or multi-role teams </w:t>
      </w:r>
    </w:p>
    <w:p>
      <w:pPr>
        <w:pStyle w:val="BodyText"/>
        <w:numPr>
          <w:ilvl w:val="0"/>
          <w:numId w:val="7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 xml:space="preserve">Communication workflows within study teams </w:t>
      </w:r>
    </w:p>
    <w:p>
      <w:pPr>
        <w:pStyle w:val="BodyText"/>
        <w:numPr>
          <w:ilvl w:val="0"/>
          <w:numId w:val="7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/>
        <w:t xml:space="preserve">Auditability of role assignments and access </w:t>
      </w:r>
    </w:p>
    <w:p>
      <w:pPr>
        <w:pStyle w:val="HorizontalLine"/>
        <w:suppressLineNumbers/>
        <w:pBdr>
          <w:bottom w:val="double" w:sz="2" w:space="0" w:color="808080"/>
        </w:pBdr>
        <w:bidi w:val="0"/>
        <w:spacing w:before="0" w:after="283"/>
        <w:jc w:val="start"/>
        <w:rPr/>
      </w:pPr>
      <w:r>
        <w:rPr/>
      </w:r>
    </w:p>
    <w:p>
      <w:pPr>
        <w:pStyle w:val="Heading3"/>
        <w:numPr>
          <w:ilvl w:val="0"/>
          <w:numId w:val="0"/>
        </w:numPr>
        <w:bidi w:val="0"/>
        <w:spacing w:before="140" w:after="120"/>
        <w:jc w:val="start"/>
        <w:rPr/>
      </w:pPr>
      <w:r>
        <w:rPr/>
        <w:t>7. Subject Management &amp; Enrollment</w:t>
      </w:r>
    </w:p>
    <w:p>
      <w:pPr>
        <w:pStyle w:val="BodyText"/>
        <w:numPr>
          <w:ilvl w:val="0"/>
          <w:numId w:val="8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 xml:space="preserve">Subject identifiers and de-identification principles </w:t>
      </w:r>
    </w:p>
    <w:p>
      <w:pPr>
        <w:pStyle w:val="BodyText"/>
        <w:numPr>
          <w:ilvl w:val="0"/>
          <w:numId w:val="8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 xml:space="preserve">Screening, eligibility assessment, and enrollment </w:t>
      </w:r>
    </w:p>
    <w:p>
      <w:pPr>
        <w:pStyle w:val="BodyText"/>
        <w:numPr>
          <w:ilvl w:val="0"/>
          <w:numId w:val="8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 xml:space="preserve">Consent documentation and consent tracking </w:t>
      </w:r>
    </w:p>
    <w:p>
      <w:pPr>
        <w:pStyle w:val="BodyText"/>
        <w:numPr>
          <w:ilvl w:val="0"/>
          <w:numId w:val="8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 xml:space="preserve">Cohort/arm assignment and randomization concepts </w:t>
      </w:r>
    </w:p>
    <w:p>
      <w:pPr>
        <w:pStyle w:val="BodyText"/>
        <w:numPr>
          <w:ilvl w:val="0"/>
          <w:numId w:val="8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 xml:space="preserve">Status tracking: active, inactive, withdrawn, completed </w:t>
      </w:r>
    </w:p>
    <w:p>
      <w:pPr>
        <w:pStyle w:val="BodyText"/>
        <w:numPr>
          <w:ilvl w:val="0"/>
          <w:numId w:val="8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 xml:space="preserve">Managing withdrawals and protocol deviations </w:t>
      </w:r>
    </w:p>
    <w:p>
      <w:pPr>
        <w:pStyle w:val="BodyText"/>
        <w:numPr>
          <w:ilvl w:val="0"/>
          <w:numId w:val="8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 xml:space="preserve">Subject documentation and record-keeping </w:t>
      </w:r>
    </w:p>
    <w:p>
      <w:pPr>
        <w:pStyle w:val="BodyText"/>
        <w:numPr>
          <w:ilvl w:val="0"/>
          <w:numId w:val="8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/>
        <w:t xml:space="preserve">Ethical considerations in subject handling </w:t>
      </w:r>
    </w:p>
    <w:p>
      <w:pPr>
        <w:pStyle w:val="HorizontalLine"/>
        <w:suppressLineNumbers/>
        <w:pBdr>
          <w:bottom w:val="double" w:sz="2" w:space="0" w:color="808080"/>
        </w:pBdr>
        <w:bidi w:val="0"/>
        <w:spacing w:before="0" w:after="283"/>
        <w:jc w:val="start"/>
        <w:rPr/>
      </w:pPr>
      <w:r>
        <w:rPr/>
      </w:r>
    </w:p>
    <w:p>
      <w:pPr>
        <w:pStyle w:val="Heading3"/>
        <w:numPr>
          <w:ilvl w:val="0"/>
          <w:numId w:val="0"/>
        </w:numPr>
        <w:bidi w:val="0"/>
        <w:spacing w:before="140" w:after="120"/>
        <w:jc w:val="start"/>
        <w:rPr/>
      </w:pPr>
      <w:r>
        <w:rPr/>
        <w:t>8. Clinical Data Collection: Traditional Measures</w:t>
      </w:r>
    </w:p>
    <w:p>
      <w:pPr>
        <w:pStyle w:val="BodyText"/>
        <w:numPr>
          <w:ilvl w:val="0"/>
          <w:numId w:val="9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 xml:space="preserve">Types of clinical data: vital signs, laboratory values, anthropometrics </w:t>
      </w:r>
    </w:p>
    <w:p>
      <w:pPr>
        <w:pStyle w:val="BodyText"/>
        <w:numPr>
          <w:ilvl w:val="0"/>
          <w:numId w:val="9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 xml:space="preserve">Standardized assessment scales (depression inventories, anxiety scales, quality of life) </w:t>
      </w:r>
    </w:p>
    <w:p>
      <w:pPr>
        <w:pStyle w:val="BodyText"/>
        <w:numPr>
          <w:ilvl w:val="0"/>
          <w:numId w:val="9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 xml:space="preserve">Adverse event reporting: description, severity, causality, resolution </w:t>
      </w:r>
    </w:p>
    <w:p>
      <w:pPr>
        <w:pStyle w:val="BodyText"/>
        <w:numPr>
          <w:ilvl w:val="0"/>
          <w:numId w:val="9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 xml:space="preserve">Serious adverse events (SAEs) and expedited reporting requirements </w:t>
      </w:r>
    </w:p>
    <w:p>
      <w:pPr>
        <w:pStyle w:val="BodyText"/>
        <w:numPr>
          <w:ilvl w:val="0"/>
          <w:numId w:val="9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 xml:space="preserve">MedDRA coding and standardized event classification </w:t>
      </w:r>
    </w:p>
    <w:p>
      <w:pPr>
        <w:pStyle w:val="BodyText"/>
        <w:numPr>
          <w:ilvl w:val="0"/>
          <w:numId w:val="9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 xml:space="preserve">Concomitant and protocol-mandated medication tracking </w:t>
      </w:r>
    </w:p>
    <w:p>
      <w:pPr>
        <w:pStyle w:val="BodyText"/>
        <w:numPr>
          <w:ilvl w:val="0"/>
          <w:numId w:val="9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 xml:space="preserve">Structured vs. unstructured data </w:t>
      </w:r>
    </w:p>
    <w:p>
      <w:pPr>
        <w:pStyle w:val="BodyText"/>
        <w:numPr>
          <w:ilvl w:val="0"/>
          <w:numId w:val="9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 xml:space="preserve">Manual entry, bulk import, and template-based workflows </w:t>
      </w:r>
    </w:p>
    <w:p>
      <w:pPr>
        <w:pStyle w:val="BodyText"/>
        <w:numPr>
          <w:ilvl w:val="0"/>
          <w:numId w:val="9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/>
        <w:t xml:space="preserve">Data quality, completeness, and traceability </w:t>
      </w:r>
    </w:p>
    <w:p>
      <w:pPr>
        <w:pStyle w:val="HorizontalLine"/>
        <w:suppressLineNumbers/>
        <w:pBdr>
          <w:bottom w:val="double" w:sz="2" w:space="0" w:color="808080"/>
        </w:pBdr>
        <w:bidi w:val="0"/>
        <w:spacing w:before="0" w:after="283"/>
        <w:jc w:val="start"/>
        <w:rPr/>
      </w:pPr>
      <w:r>
        <w:rPr/>
      </w:r>
    </w:p>
    <w:p>
      <w:pPr>
        <w:pStyle w:val="Heading3"/>
        <w:numPr>
          <w:ilvl w:val="0"/>
          <w:numId w:val="0"/>
        </w:numPr>
        <w:bidi w:val="0"/>
        <w:spacing w:before="140" w:after="120"/>
        <w:jc w:val="start"/>
        <w:rPr/>
      </w:pPr>
      <w:r>
        <w:rPr/>
        <w:t>9. Digital Biomarkers &amp; High-Frequency Data</w:t>
      </w:r>
    </w:p>
    <w:p>
      <w:pPr>
        <w:pStyle w:val="BodyText"/>
        <w:numPr>
          <w:ilvl w:val="0"/>
          <w:numId w:val="10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 xml:space="preserve">What are digital biomarkers and why they matter </w:t>
      </w:r>
    </w:p>
    <w:p>
      <w:pPr>
        <w:pStyle w:val="BodyText"/>
        <w:numPr>
          <w:ilvl w:val="0"/>
          <w:numId w:val="10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 xml:space="preserve">Wearable devices: heart rate, electrodermal activity, accelerometry, sleep data </w:t>
      </w:r>
    </w:p>
    <w:p>
      <w:pPr>
        <w:pStyle w:val="BodyText"/>
        <w:numPr>
          <w:ilvl w:val="0"/>
          <w:numId w:val="10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 xml:space="preserve">Consumer vs. medical-grade devices (Fitbit, Empatica E4, etc.) </w:t>
      </w:r>
    </w:p>
    <w:p>
      <w:pPr>
        <w:pStyle w:val="BodyText"/>
        <w:numPr>
          <w:ilvl w:val="0"/>
          <w:numId w:val="10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 xml:space="preserve">Neurophysiological data: EEG file formats (EDF, BDF), metadata extraction </w:t>
      </w:r>
    </w:p>
    <w:p>
      <w:pPr>
        <w:pStyle w:val="BodyText"/>
        <w:numPr>
          <w:ilvl w:val="0"/>
          <w:numId w:val="10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 xml:space="preserve">Challenges: data volume, artifact detection, preprocessing requirements </w:t>
      </w:r>
    </w:p>
    <w:p>
      <w:pPr>
        <w:pStyle w:val="BodyText"/>
        <w:numPr>
          <w:ilvl w:val="0"/>
          <w:numId w:val="10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 xml:space="preserve">Ingesting high-frequency time-series data into CTMS </w:t>
      </w:r>
    </w:p>
    <w:p>
      <w:pPr>
        <w:pStyle w:val="BodyText"/>
        <w:numPr>
          <w:ilvl w:val="0"/>
          <w:numId w:val="10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 xml:space="preserve">Visualizing and quality-checking physiological recordings </w:t>
      </w:r>
    </w:p>
    <w:p>
      <w:pPr>
        <w:pStyle w:val="BodyText"/>
        <w:numPr>
          <w:ilvl w:val="0"/>
          <w:numId w:val="10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/>
        <w:t xml:space="preserve">Integrating digital biomarkers with traditional clinical data </w:t>
      </w:r>
    </w:p>
    <w:p>
      <w:pPr>
        <w:pStyle w:val="HorizontalLine"/>
        <w:suppressLineNumbers/>
        <w:pBdr>
          <w:bottom w:val="double" w:sz="2" w:space="0" w:color="808080"/>
        </w:pBdr>
        <w:bidi w:val="0"/>
        <w:spacing w:before="0" w:after="283"/>
        <w:jc w:val="start"/>
        <w:rPr/>
      </w:pPr>
      <w:r>
        <w:rPr/>
      </w:r>
    </w:p>
    <w:p>
      <w:pPr>
        <w:pStyle w:val="Heading3"/>
        <w:numPr>
          <w:ilvl w:val="0"/>
          <w:numId w:val="0"/>
        </w:numPr>
        <w:bidi w:val="0"/>
        <w:spacing w:before="140" w:after="120"/>
        <w:jc w:val="start"/>
        <w:rPr/>
      </w:pPr>
      <w:r>
        <w:rPr/>
        <w:t>10. Monitoring Study Progress</w:t>
      </w:r>
    </w:p>
    <w:p>
      <w:pPr>
        <w:pStyle w:val="BodyText"/>
        <w:numPr>
          <w:ilvl w:val="0"/>
          <w:numId w:val="11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 xml:space="preserve">Enrollment tracking against targets </w:t>
      </w:r>
    </w:p>
    <w:p>
      <w:pPr>
        <w:pStyle w:val="BodyText"/>
        <w:numPr>
          <w:ilvl w:val="0"/>
          <w:numId w:val="11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 xml:space="preserve">Retention monitoring and dropout patterns </w:t>
      </w:r>
    </w:p>
    <w:p>
      <w:pPr>
        <w:pStyle w:val="BodyText"/>
        <w:numPr>
          <w:ilvl w:val="0"/>
          <w:numId w:val="11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 xml:space="preserve">Data completeness and compliance monitoring </w:t>
      </w:r>
    </w:p>
    <w:p>
      <w:pPr>
        <w:pStyle w:val="BodyText"/>
        <w:numPr>
          <w:ilvl w:val="0"/>
          <w:numId w:val="11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 xml:space="preserve">Recording activity heatmaps and subject-level tracking </w:t>
      </w:r>
    </w:p>
    <w:p>
      <w:pPr>
        <w:pStyle w:val="BodyText"/>
        <w:numPr>
          <w:ilvl w:val="0"/>
          <w:numId w:val="11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 xml:space="preserve">Identifying gaps, delays, and risks early </w:t>
      </w:r>
    </w:p>
    <w:p>
      <w:pPr>
        <w:pStyle w:val="BodyText"/>
        <w:numPr>
          <w:ilvl w:val="0"/>
          <w:numId w:val="11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 xml:space="preserve">Automated flags and alerts for subjects requiring attention </w:t>
      </w:r>
    </w:p>
    <w:p>
      <w:pPr>
        <w:pStyle w:val="BodyText"/>
        <w:numPr>
          <w:ilvl w:val="0"/>
          <w:numId w:val="11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/>
        <w:t xml:space="preserve">Dashboard indicators and key performance metrics </w:t>
      </w:r>
    </w:p>
    <w:p>
      <w:pPr>
        <w:pStyle w:val="HorizontalLine"/>
        <w:suppressLineNumbers/>
        <w:pBdr>
          <w:bottom w:val="double" w:sz="2" w:space="0" w:color="808080"/>
        </w:pBdr>
        <w:bidi w:val="0"/>
        <w:spacing w:before="0" w:after="283"/>
        <w:jc w:val="start"/>
        <w:rPr/>
      </w:pPr>
      <w:r>
        <w:rPr/>
      </w:r>
    </w:p>
    <w:p>
      <w:pPr>
        <w:pStyle w:val="Heading3"/>
        <w:numPr>
          <w:ilvl w:val="0"/>
          <w:numId w:val="0"/>
        </w:numPr>
        <w:bidi w:val="0"/>
        <w:spacing w:before="140" w:after="120"/>
        <w:jc w:val="start"/>
        <w:rPr/>
      </w:pPr>
      <w:r>
        <w:rPr/>
        <w:t>11. Introduction to Clinical Data Analysis</w:t>
      </w:r>
    </w:p>
    <w:p>
      <w:pPr>
        <w:pStyle w:val="BodyText"/>
        <w:numPr>
          <w:ilvl w:val="0"/>
          <w:numId w:val="12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 xml:space="preserve">Descriptive vs. comparative analyses </w:t>
      </w:r>
    </w:p>
    <w:p>
      <w:pPr>
        <w:pStyle w:val="BodyText"/>
        <w:numPr>
          <w:ilvl w:val="0"/>
          <w:numId w:val="12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 xml:space="preserve">Cohort-level and subject-level analysis concepts </w:t>
      </w:r>
    </w:p>
    <w:p>
      <w:pPr>
        <w:pStyle w:val="BodyText"/>
        <w:numPr>
          <w:ilvl w:val="0"/>
          <w:numId w:val="12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 xml:space="preserve">Common statistical approaches: t-tests, ANOVA, non-parametric alternatives </w:t>
      </w:r>
    </w:p>
    <w:p>
      <w:pPr>
        <w:pStyle w:val="BodyText"/>
        <w:numPr>
          <w:ilvl w:val="0"/>
          <w:numId w:val="12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 xml:space="preserve">Correlation and longitudinal tracking </w:t>
      </w:r>
    </w:p>
    <w:p>
      <w:pPr>
        <w:pStyle w:val="BodyText"/>
        <w:numPr>
          <w:ilvl w:val="0"/>
          <w:numId w:val="12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 xml:space="preserve">Visualizations: box plots, density plots, time-series charts </w:t>
      </w:r>
    </w:p>
    <w:p>
      <w:pPr>
        <w:pStyle w:val="BodyText"/>
        <w:numPr>
          <w:ilvl w:val="0"/>
          <w:numId w:val="12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 xml:space="preserve">Common reports used in early-stage research </w:t>
      </w:r>
    </w:p>
    <w:p>
      <w:pPr>
        <w:pStyle w:val="BodyText"/>
        <w:numPr>
          <w:ilvl w:val="0"/>
          <w:numId w:val="12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 xml:space="preserve">Interpreting results responsibly: effect sizes, confidence intervals, limitations </w:t>
      </w:r>
    </w:p>
    <w:p>
      <w:pPr>
        <w:pStyle w:val="BodyText"/>
        <w:numPr>
          <w:ilvl w:val="0"/>
          <w:numId w:val="12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 xml:space="preserve">Data export: formats, interoperability with statistical software (R, Python, SPSS, SAS) </w:t>
      </w:r>
    </w:p>
    <w:p>
      <w:pPr>
        <w:pStyle w:val="BodyText"/>
        <w:numPr>
          <w:ilvl w:val="0"/>
          <w:numId w:val="12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/>
        <w:t xml:space="preserve">Future standards: CDISC, FHIR, and broader ecosystem compatibility </w:t>
      </w:r>
    </w:p>
    <w:p>
      <w:pPr>
        <w:pStyle w:val="HorizontalLine"/>
        <w:suppressLineNumbers/>
        <w:pBdr>
          <w:bottom w:val="double" w:sz="2" w:space="0" w:color="808080"/>
        </w:pBdr>
        <w:bidi w:val="0"/>
        <w:spacing w:before="0" w:after="283"/>
        <w:jc w:val="start"/>
        <w:rPr/>
      </w:pPr>
      <w:r>
        <w:rPr/>
      </w:r>
    </w:p>
    <w:p>
      <w:pPr>
        <w:pStyle w:val="Heading3"/>
        <w:numPr>
          <w:ilvl w:val="0"/>
          <w:numId w:val="0"/>
        </w:numPr>
        <w:bidi w:val="0"/>
        <w:spacing w:before="140" w:after="120"/>
        <w:jc w:val="start"/>
        <w:rPr/>
      </w:pPr>
      <w:r>
        <w:rPr/>
        <w:t>12. Financial Awareness in Clinical Research</w:t>
      </w:r>
    </w:p>
    <w:p>
      <w:pPr>
        <w:pStyle w:val="BodyText"/>
        <w:numPr>
          <w:ilvl w:val="0"/>
          <w:numId w:val="13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 xml:space="preserve">Why financial tracking matters in academic trials </w:t>
      </w:r>
    </w:p>
    <w:p>
      <w:pPr>
        <w:pStyle w:val="BodyText"/>
        <w:numPr>
          <w:ilvl w:val="0"/>
          <w:numId w:val="13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 xml:space="preserve">Budget planning basics: funding sources, cost categories </w:t>
      </w:r>
    </w:p>
    <w:p>
      <w:pPr>
        <w:pStyle w:val="BodyText"/>
        <w:numPr>
          <w:ilvl w:val="0"/>
          <w:numId w:val="13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 xml:space="preserve">Common expense types: personnel, lab testing, participant reimbursement, equipment </w:t>
      </w:r>
    </w:p>
    <w:p>
      <w:pPr>
        <w:pStyle w:val="BodyText"/>
        <w:numPr>
          <w:ilvl w:val="0"/>
          <w:numId w:val="13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 xml:space="preserve">Tracking study expenses in real-time </w:t>
      </w:r>
    </w:p>
    <w:p>
      <w:pPr>
        <w:pStyle w:val="BodyText"/>
        <w:numPr>
          <w:ilvl w:val="0"/>
          <w:numId w:val="13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 xml:space="preserve">Understanding burn rate and budget projections </w:t>
      </w:r>
    </w:p>
    <w:p>
      <w:pPr>
        <w:pStyle w:val="BodyText"/>
        <w:numPr>
          <w:ilvl w:val="0"/>
          <w:numId w:val="13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 xml:space="preserve">Recognizing early warning signs of budget shortfalls </w:t>
      </w:r>
    </w:p>
    <w:p>
      <w:pPr>
        <w:pStyle w:val="BodyText"/>
        <w:numPr>
          <w:ilvl w:val="0"/>
          <w:numId w:val="13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/>
        <w:t xml:space="preserve">Financial oversight as part of responsible study management </w:t>
      </w:r>
    </w:p>
    <w:p>
      <w:pPr>
        <w:pStyle w:val="HorizontalLine"/>
        <w:suppressLineNumbers/>
        <w:pBdr>
          <w:bottom w:val="double" w:sz="2" w:space="0" w:color="808080"/>
        </w:pBdr>
        <w:bidi w:val="0"/>
        <w:spacing w:before="0" w:after="283"/>
        <w:jc w:val="start"/>
        <w:rPr/>
      </w:pPr>
      <w:r>
        <w:rPr/>
      </w:r>
    </w:p>
    <w:p>
      <w:pPr>
        <w:pStyle w:val="Heading3"/>
        <w:numPr>
          <w:ilvl w:val="0"/>
          <w:numId w:val="0"/>
        </w:numPr>
        <w:bidi w:val="0"/>
        <w:spacing w:before="140" w:after="120"/>
        <w:jc w:val="start"/>
        <w:rPr/>
      </w:pPr>
      <w:r>
        <w:rPr/>
        <w:t>1</w:t>
      </w:r>
      <w:r>
        <w:rPr/>
        <w:t>3</w:t>
      </w:r>
      <w:r>
        <w:rPr/>
        <w:t>. Best Practices &amp; Common Pitfalls</w:t>
      </w:r>
    </w:p>
    <w:p>
      <w:pPr>
        <w:pStyle w:val="BodyText"/>
        <w:numPr>
          <w:ilvl w:val="0"/>
          <w:numId w:val="14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 xml:space="preserve">Designing studies with downstream data use in mind </w:t>
      </w:r>
    </w:p>
    <w:p>
      <w:pPr>
        <w:pStyle w:val="BodyText"/>
        <w:numPr>
          <w:ilvl w:val="0"/>
          <w:numId w:val="14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 xml:space="preserve">Avoiding over-complexity in early trials </w:t>
      </w:r>
    </w:p>
    <w:p>
      <w:pPr>
        <w:pStyle w:val="BodyText"/>
        <w:numPr>
          <w:ilvl w:val="0"/>
          <w:numId w:val="14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 xml:space="preserve">Balancing thoroughness with feasibility </w:t>
      </w:r>
    </w:p>
    <w:p>
      <w:pPr>
        <w:pStyle w:val="BodyText"/>
        <w:numPr>
          <w:ilvl w:val="0"/>
          <w:numId w:val="14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 xml:space="preserve">Common mistakes: inconsistent data entry, poor documentation, scope creep </w:t>
      </w:r>
    </w:p>
    <w:p>
      <w:pPr>
        <w:pStyle w:val="BodyText"/>
        <w:numPr>
          <w:ilvl w:val="0"/>
          <w:numId w:val="14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 xml:space="preserve">Practical tips for first-time trial managers </w:t>
      </w:r>
    </w:p>
    <w:p>
      <w:pPr>
        <w:pStyle w:val="BodyText"/>
        <w:numPr>
          <w:ilvl w:val="0"/>
          <w:numId w:val="14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>
          <w:rStyle w:val="Emphasis"/>
        </w:rPr>
      </w:pPr>
      <w:r>
        <w:rPr/>
        <w:t xml:space="preserve">Building good habits early in your research career </w:t>
      </w:r>
    </w:p>
    <w:p>
      <w:pPr>
        <w:pStyle w:val="HorizontalLine"/>
        <w:suppressLineNumbers/>
        <w:pBdr>
          <w:bottom w:val="double" w:sz="2" w:space="0" w:color="808080"/>
        </w:pBdr>
        <w:bidi w:val="0"/>
        <w:spacing w:before="0" w:after="283"/>
        <w:jc w:val="start"/>
        <w:rPr>
          <w:rStyle w:val="Emphasis"/>
        </w:rPr>
      </w:pPr>
      <w:r>
        <w:rPr/>
      </w:r>
    </w:p>
    <w:p>
      <w:pPr>
        <w:pStyle w:val="Normal"/>
        <w:bidi w:val="0"/>
        <w:jc w:val="start"/>
        <w:rPr/>
      </w:pPr>
      <w:r>
        <w:rPr/>
      </w:r>
    </w:p>
    <w:sect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OpenSymbol">
    <w:altName w:val="Arial Unicode MS"/>
    <w:charset w:val="02"/>
    <w:family w:val="auto"/>
    <w:pitch w:val="default"/>
  </w:font>
  <w:font w:name="Liberation Sans">
    <w:altName w:val="Arial"/>
    <w:charset w:val="01" w:characterSet="utf-8"/>
    <w:family w:val="swiss"/>
    <w:pitch w:val="variable"/>
  </w:font>
  <w:font w:name="Symbol">
    <w:charset w:val="02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%1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%2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%3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%4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%5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%6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%7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%8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%9"/>
      <w:lvlJc w:val="start"/>
      <w:pPr>
        <w:tabs>
          <w:tab w:val="num" w:pos="0"/>
        </w:tabs>
        <w:ind w:start="0" w:hanging="0"/>
      </w:pPr>
    </w:lvl>
  </w:abstractNum>
  <w:abstractNum w:abstractNumId="2">
    <w:lvl w:ilvl="0">
      <w:start w:val="1"/>
      <w:numFmt w:val="bullet"/>
      <w:lvlText w:val=""/>
      <w:lvlJc w:val="start"/>
      <w:pPr>
        <w:tabs>
          <w:tab w:val="num" w:pos="709"/>
        </w:tabs>
        <w:ind w:star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418"/>
        </w:tabs>
        <w:ind w:star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2127"/>
        </w:tabs>
        <w:ind w:star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2836"/>
        </w:tabs>
        <w:ind w:star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3545"/>
        </w:tabs>
        <w:ind w:star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4254"/>
        </w:tabs>
        <w:ind w:star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4963"/>
        </w:tabs>
        <w:ind w:star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5672"/>
        </w:tabs>
        <w:ind w:star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6381"/>
        </w:tabs>
        <w:ind w:start="6381" w:hanging="283"/>
      </w:pPr>
      <w:rPr>
        <w:rFonts w:ascii="Symbol" w:hAnsi="Symbol" w:cs="Symbol" w:hint="default"/>
      </w:rPr>
    </w:lvl>
  </w:abstractNum>
  <w:abstractNum w:abstractNumId="3">
    <w:lvl w:ilvl="0">
      <w:start w:val="1"/>
      <w:numFmt w:val="bullet"/>
      <w:lvlText w:val=""/>
      <w:lvlJc w:val="start"/>
      <w:pPr>
        <w:tabs>
          <w:tab w:val="num" w:pos="709"/>
        </w:tabs>
        <w:ind w:star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418"/>
        </w:tabs>
        <w:ind w:star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2127"/>
        </w:tabs>
        <w:ind w:star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2836"/>
        </w:tabs>
        <w:ind w:star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3545"/>
        </w:tabs>
        <w:ind w:star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4254"/>
        </w:tabs>
        <w:ind w:star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4963"/>
        </w:tabs>
        <w:ind w:star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5672"/>
        </w:tabs>
        <w:ind w:star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6381"/>
        </w:tabs>
        <w:ind w:start="6381" w:hanging="283"/>
      </w:pPr>
      <w:rPr>
        <w:rFonts w:ascii="Symbol" w:hAnsi="Symbol" w:cs="Symbol" w:hint="default"/>
      </w:rPr>
    </w:lvl>
  </w:abstractNum>
  <w:abstractNum w:abstractNumId="4">
    <w:lvl w:ilvl="0">
      <w:start w:val="1"/>
      <w:numFmt w:val="bullet"/>
      <w:lvlText w:val=""/>
      <w:lvlJc w:val="start"/>
      <w:pPr>
        <w:tabs>
          <w:tab w:val="num" w:pos="709"/>
        </w:tabs>
        <w:ind w:star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418"/>
        </w:tabs>
        <w:ind w:star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2127"/>
        </w:tabs>
        <w:ind w:star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2836"/>
        </w:tabs>
        <w:ind w:star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3545"/>
        </w:tabs>
        <w:ind w:star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4254"/>
        </w:tabs>
        <w:ind w:star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4963"/>
        </w:tabs>
        <w:ind w:star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5672"/>
        </w:tabs>
        <w:ind w:star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6381"/>
        </w:tabs>
        <w:ind w:start="6381" w:hanging="283"/>
      </w:pPr>
      <w:rPr>
        <w:rFonts w:ascii="Symbol" w:hAnsi="Symbol" w:cs="Symbol" w:hint="default"/>
      </w:rPr>
    </w:lvl>
  </w:abstractNum>
  <w:abstractNum w:abstractNumId="5">
    <w:lvl w:ilvl="0">
      <w:start w:val="1"/>
      <w:numFmt w:val="bullet"/>
      <w:lvlText w:val=""/>
      <w:lvlJc w:val="start"/>
      <w:pPr>
        <w:tabs>
          <w:tab w:val="num" w:pos="709"/>
        </w:tabs>
        <w:ind w:star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418"/>
        </w:tabs>
        <w:ind w:star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2127"/>
        </w:tabs>
        <w:ind w:star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2836"/>
        </w:tabs>
        <w:ind w:star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3545"/>
        </w:tabs>
        <w:ind w:star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4254"/>
        </w:tabs>
        <w:ind w:star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4963"/>
        </w:tabs>
        <w:ind w:star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5672"/>
        </w:tabs>
        <w:ind w:star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6381"/>
        </w:tabs>
        <w:ind w:start="6381" w:hanging="283"/>
      </w:pPr>
      <w:rPr>
        <w:rFonts w:ascii="Symbol" w:hAnsi="Symbol" w:cs="Symbol" w:hint="default"/>
      </w:rPr>
    </w:lvl>
  </w:abstractNum>
  <w:abstractNum w:abstractNumId="6">
    <w:lvl w:ilvl="0">
      <w:start w:val="1"/>
      <w:numFmt w:val="bullet"/>
      <w:lvlText w:val=""/>
      <w:lvlJc w:val="start"/>
      <w:pPr>
        <w:tabs>
          <w:tab w:val="num" w:pos="709"/>
        </w:tabs>
        <w:ind w:star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418"/>
        </w:tabs>
        <w:ind w:star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2127"/>
        </w:tabs>
        <w:ind w:star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2836"/>
        </w:tabs>
        <w:ind w:star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3545"/>
        </w:tabs>
        <w:ind w:star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4254"/>
        </w:tabs>
        <w:ind w:star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4963"/>
        </w:tabs>
        <w:ind w:star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5672"/>
        </w:tabs>
        <w:ind w:star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6381"/>
        </w:tabs>
        <w:ind w:start="6381" w:hanging="283"/>
      </w:pPr>
      <w:rPr>
        <w:rFonts w:ascii="Symbol" w:hAnsi="Symbol" w:cs="Symbol" w:hint="default"/>
      </w:rPr>
    </w:lvl>
  </w:abstractNum>
  <w:abstractNum w:abstractNumId="7">
    <w:lvl w:ilvl="0">
      <w:start w:val="1"/>
      <w:numFmt w:val="bullet"/>
      <w:lvlText w:val=""/>
      <w:lvlJc w:val="start"/>
      <w:pPr>
        <w:tabs>
          <w:tab w:val="num" w:pos="709"/>
        </w:tabs>
        <w:ind w:star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418"/>
        </w:tabs>
        <w:ind w:star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2127"/>
        </w:tabs>
        <w:ind w:star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2836"/>
        </w:tabs>
        <w:ind w:star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3545"/>
        </w:tabs>
        <w:ind w:star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4254"/>
        </w:tabs>
        <w:ind w:star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4963"/>
        </w:tabs>
        <w:ind w:star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5672"/>
        </w:tabs>
        <w:ind w:star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6381"/>
        </w:tabs>
        <w:ind w:start="6381" w:hanging="283"/>
      </w:pPr>
      <w:rPr>
        <w:rFonts w:ascii="Symbol" w:hAnsi="Symbol" w:cs="Symbol" w:hint="default"/>
      </w:rPr>
    </w:lvl>
  </w:abstractNum>
  <w:abstractNum w:abstractNumId="8">
    <w:lvl w:ilvl="0">
      <w:start w:val="1"/>
      <w:numFmt w:val="bullet"/>
      <w:lvlText w:val=""/>
      <w:lvlJc w:val="start"/>
      <w:pPr>
        <w:tabs>
          <w:tab w:val="num" w:pos="709"/>
        </w:tabs>
        <w:ind w:star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418"/>
        </w:tabs>
        <w:ind w:star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2127"/>
        </w:tabs>
        <w:ind w:star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2836"/>
        </w:tabs>
        <w:ind w:star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3545"/>
        </w:tabs>
        <w:ind w:star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4254"/>
        </w:tabs>
        <w:ind w:star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4963"/>
        </w:tabs>
        <w:ind w:star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5672"/>
        </w:tabs>
        <w:ind w:star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6381"/>
        </w:tabs>
        <w:ind w:start="6381" w:hanging="283"/>
      </w:pPr>
      <w:rPr>
        <w:rFonts w:ascii="Symbol" w:hAnsi="Symbol" w:cs="Symbol" w:hint="default"/>
      </w:rPr>
    </w:lvl>
  </w:abstractNum>
  <w:abstractNum w:abstractNumId="9">
    <w:lvl w:ilvl="0">
      <w:start w:val="1"/>
      <w:numFmt w:val="bullet"/>
      <w:lvlText w:val=""/>
      <w:lvlJc w:val="start"/>
      <w:pPr>
        <w:tabs>
          <w:tab w:val="num" w:pos="709"/>
        </w:tabs>
        <w:ind w:star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418"/>
        </w:tabs>
        <w:ind w:star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2127"/>
        </w:tabs>
        <w:ind w:star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2836"/>
        </w:tabs>
        <w:ind w:star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3545"/>
        </w:tabs>
        <w:ind w:star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4254"/>
        </w:tabs>
        <w:ind w:star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4963"/>
        </w:tabs>
        <w:ind w:star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5672"/>
        </w:tabs>
        <w:ind w:star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6381"/>
        </w:tabs>
        <w:ind w:start="6381" w:hanging="283"/>
      </w:pPr>
      <w:rPr>
        <w:rFonts w:ascii="Symbol" w:hAnsi="Symbol" w:cs="Symbol" w:hint="default"/>
      </w:rPr>
    </w:lvl>
  </w:abstractNum>
  <w:abstractNum w:abstractNumId="10">
    <w:lvl w:ilvl="0">
      <w:start w:val="1"/>
      <w:numFmt w:val="bullet"/>
      <w:lvlText w:val=""/>
      <w:lvlJc w:val="start"/>
      <w:pPr>
        <w:tabs>
          <w:tab w:val="num" w:pos="709"/>
        </w:tabs>
        <w:ind w:star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418"/>
        </w:tabs>
        <w:ind w:star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2127"/>
        </w:tabs>
        <w:ind w:star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2836"/>
        </w:tabs>
        <w:ind w:star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3545"/>
        </w:tabs>
        <w:ind w:star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4254"/>
        </w:tabs>
        <w:ind w:star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4963"/>
        </w:tabs>
        <w:ind w:star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5672"/>
        </w:tabs>
        <w:ind w:star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6381"/>
        </w:tabs>
        <w:ind w:start="6381" w:hanging="283"/>
      </w:pPr>
      <w:rPr>
        <w:rFonts w:ascii="Symbol" w:hAnsi="Symbol" w:cs="Symbol" w:hint="default"/>
      </w:rPr>
    </w:lvl>
  </w:abstractNum>
  <w:abstractNum w:abstractNumId="11">
    <w:lvl w:ilvl="0">
      <w:start w:val="1"/>
      <w:numFmt w:val="bullet"/>
      <w:lvlText w:val=""/>
      <w:lvlJc w:val="start"/>
      <w:pPr>
        <w:tabs>
          <w:tab w:val="num" w:pos="709"/>
        </w:tabs>
        <w:ind w:star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418"/>
        </w:tabs>
        <w:ind w:star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2127"/>
        </w:tabs>
        <w:ind w:star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2836"/>
        </w:tabs>
        <w:ind w:star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3545"/>
        </w:tabs>
        <w:ind w:star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4254"/>
        </w:tabs>
        <w:ind w:star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4963"/>
        </w:tabs>
        <w:ind w:star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5672"/>
        </w:tabs>
        <w:ind w:star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6381"/>
        </w:tabs>
        <w:ind w:start="6381" w:hanging="283"/>
      </w:pPr>
      <w:rPr>
        <w:rFonts w:ascii="Symbol" w:hAnsi="Symbol" w:cs="Symbol" w:hint="default"/>
      </w:rPr>
    </w:lvl>
  </w:abstractNum>
  <w:abstractNum w:abstractNumId="12">
    <w:lvl w:ilvl="0">
      <w:start w:val="1"/>
      <w:numFmt w:val="bullet"/>
      <w:lvlText w:val=""/>
      <w:lvlJc w:val="start"/>
      <w:pPr>
        <w:tabs>
          <w:tab w:val="num" w:pos="709"/>
        </w:tabs>
        <w:ind w:star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418"/>
        </w:tabs>
        <w:ind w:star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2127"/>
        </w:tabs>
        <w:ind w:star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2836"/>
        </w:tabs>
        <w:ind w:star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3545"/>
        </w:tabs>
        <w:ind w:star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4254"/>
        </w:tabs>
        <w:ind w:star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4963"/>
        </w:tabs>
        <w:ind w:star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5672"/>
        </w:tabs>
        <w:ind w:star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6381"/>
        </w:tabs>
        <w:ind w:start="6381" w:hanging="283"/>
      </w:pPr>
      <w:rPr>
        <w:rFonts w:ascii="Symbol" w:hAnsi="Symbol" w:cs="Symbol" w:hint="default"/>
      </w:rPr>
    </w:lvl>
  </w:abstractNum>
  <w:abstractNum w:abstractNumId="13">
    <w:lvl w:ilvl="0">
      <w:start w:val="1"/>
      <w:numFmt w:val="bullet"/>
      <w:lvlText w:val=""/>
      <w:lvlJc w:val="start"/>
      <w:pPr>
        <w:tabs>
          <w:tab w:val="num" w:pos="709"/>
        </w:tabs>
        <w:ind w:star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418"/>
        </w:tabs>
        <w:ind w:star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2127"/>
        </w:tabs>
        <w:ind w:star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2836"/>
        </w:tabs>
        <w:ind w:star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3545"/>
        </w:tabs>
        <w:ind w:star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4254"/>
        </w:tabs>
        <w:ind w:star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4963"/>
        </w:tabs>
        <w:ind w:star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5672"/>
        </w:tabs>
        <w:ind w:star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6381"/>
        </w:tabs>
        <w:ind w:start="6381" w:hanging="283"/>
      </w:pPr>
      <w:rPr>
        <w:rFonts w:ascii="Symbol" w:hAnsi="Symbol" w:cs="Symbol" w:hint="default"/>
      </w:rPr>
    </w:lvl>
  </w:abstractNum>
  <w:abstractNum w:abstractNumId="14">
    <w:lvl w:ilvl="0">
      <w:start w:val="1"/>
      <w:numFmt w:val="bullet"/>
      <w:lvlText w:val=""/>
      <w:lvlJc w:val="start"/>
      <w:pPr>
        <w:tabs>
          <w:tab w:val="num" w:pos="709"/>
        </w:tabs>
        <w:ind w:star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418"/>
        </w:tabs>
        <w:ind w:star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2127"/>
        </w:tabs>
        <w:ind w:star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2836"/>
        </w:tabs>
        <w:ind w:star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3545"/>
        </w:tabs>
        <w:ind w:star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4254"/>
        </w:tabs>
        <w:ind w:star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4963"/>
        </w:tabs>
        <w:ind w:star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5672"/>
        </w:tabs>
        <w:ind w:star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6381"/>
        </w:tabs>
        <w:ind w:start="6381" w:hanging="283"/>
      </w:pPr>
      <w:rPr>
        <w:rFonts w:ascii="Symbol" w:hAnsi="Symbol" w:cs="Symbol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</w:numbering>
</file>

<file path=word/settings.xml><?xml version="1.0" encoding="utf-8"?>
<w:settings xmlns:w="http://schemas.openxmlformats.org/wordprocessingml/2006/main">
  <w:zoom w:percent="81"/>
  <w:defaultTabStop w:val="709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erif CJK SC" w:cs="Noto Sans Devanagari"/>
        <w:kern w:val="2"/>
        <w:sz w:val="24"/>
        <w:szCs w:val="24"/>
        <w:lang w:val="en-US" w:eastAsia="zh-CN" w:bidi="hi-IN"/>
      </w:rPr>
    </w:rPrDefault>
    <w:pPrDefault>
      <w:pPr>
        <w:widowControl/>
        <w:suppressAutoHyphens w:val="true"/>
      </w:pPr>
    </w:pPrDefault>
  </w:docDefaults>
  <w:style w:type="paragraph" w:styleId="Normal">
    <w:name w:val="Normal"/>
    <w:qFormat/>
    <w:pPr>
      <w:widowControl/>
      <w:kinsoku w:val="true"/>
      <w:overflowPunct w:val="true"/>
      <w:autoSpaceDE w:val="true"/>
      <w:bidi w:val="0"/>
    </w:pPr>
    <w:rPr>
      <w:rFonts w:ascii="Liberation Serif" w:hAnsi="Liberation Serif" w:eastAsia="Noto Serif CJK SC" w:cs="Noto Sans Devanagari"/>
      <w:color w:val="auto"/>
      <w:kern w:val="2"/>
      <w:sz w:val="24"/>
      <w:szCs w:val="24"/>
      <w:lang w:val="en-US" w:eastAsia="zh-CN" w:bidi="hi-IN"/>
    </w:rPr>
  </w:style>
  <w:style w:type="paragraph" w:styleId="Heading1">
    <w:name w:val="Heading 1"/>
    <w:basedOn w:val="Heading"/>
    <w:next w:val="BodyText"/>
    <w:qFormat/>
    <w:pPr>
      <w:numPr>
        <w:ilvl w:val="0"/>
        <w:numId w:val="0"/>
      </w:numPr>
      <w:spacing w:before="240" w:after="120"/>
      <w:outlineLvl w:val="0"/>
    </w:pPr>
    <w:rPr>
      <w:rFonts w:ascii="Liberation Serif" w:hAnsi="Liberation Serif" w:eastAsia="Noto Serif CJK SC" w:cs="Noto Sans Devanagari"/>
      <w:b/>
      <w:bCs/>
      <w:sz w:val="48"/>
      <w:szCs w:val="48"/>
    </w:rPr>
  </w:style>
  <w:style w:type="paragraph" w:styleId="Heading2">
    <w:name w:val="Heading 2"/>
    <w:basedOn w:val="Heading"/>
    <w:next w:val="BodyText"/>
    <w:qFormat/>
    <w:pPr>
      <w:numPr>
        <w:ilvl w:val="0"/>
        <w:numId w:val="0"/>
      </w:numPr>
      <w:spacing w:before="200" w:after="120"/>
      <w:outlineLvl w:val="1"/>
    </w:pPr>
    <w:rPr>
      <w:rFonts w:ascii="Liberation Serif" w:hAnsi="Liberation Serif" w:eastAsia="Noto Serif CJK SC" w:cs="Noto Sans Devanagari"/>
      <w:b/>
      <w:bCs/>
      <w:sz w:val="36"/>
      <w:szCs w:val="36"/>
    </w:rPr>
  </w:style>
  <w:style w:type="paragraph" w:styleId="Heading3">
    <w:name w:val="Heading 3"/>
    <w:basedOn w:val="Heading"/>
    <w:next w:val="BodyText"/>
    <w:qFormat/>
    <w:pPr>
      <w:numPr>
        <w:ilvl w:val="0"/>
        <w:numId w:val="0"/>
      </w:numPr>
      <w:spacing w:before="140" w:after="120"/>
      <w:outlineLvl w:val="2"/>
    </w:pPr>
    <w:rPr>
      <w:rFonts w:ascii="Liberation Serif" w:hAnsi="Liberation Serif" w:eastAsia="Noto Serif CJK SC" w:cs="Noto Sans Devanagari"/>
      <w:b/>
      <w:bCs/>
      <w:sz w:val="28"/>
      <w:szCs w:val="28"/>
    </w:rPr>
  </w:style>
  <w:style w:type="character" w:styleId="Strong">
    <w:name w:val="Strong"/>
    <w:qFormat/>
    <w:rPr>
      <w:b/>
      <w:bCs/>
    </w:rPr>
  </w:style>
  <w:style w:type="character" w:styleId="Bullets">
    <w:name w:val="Bullets"/>
    <w:qFormat/>
    <w:rPr>
      <w:rFonts w:ascii="OpenSymbol" w:hAnsi="OpenSymbol" w:eastAsia="OpenSymbol" w:cs="OpenSymbol"/>
    </w:rPr>
  </w:style>
  <w:style w:type="character" w:styleId="Emphasis">
    <w:name w:val="Emphasis"/>
    <w:qFormat/>
    <w:rPr>
      <w:i/>
      <w:iCs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Noto Sans Devanagari"/>
    </w:rPr>
  </w:style>
  <w:style w:type="paragraph" w:styleId="HorizontalLine">
    <w:name w:val="Horizontal Line"/>
    <w:basedOn w:val="Normal"/>
    <w:next w:val="BodyText"/>
    <w:qFormat/>
    <w:pPr>
      <w:suppressLineNumbers/>
      <w:pBdr>
        <w:bottom w:val="double" w:sz="2" w:space="0" w:color="808080"/>
      </w:pBdr>
      <w:spacing w:before="0" w:after="283"/>
    </w:pPr>
    <w:rPr>
      <w:sz w:val="12"/>
      <w:szCs w:val="12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3</TotalTime>
  <Application>LibreOffice/24.2.7.2$Linux_X86_64 LibreOffice_project/420$Build-2</Application>
  <AppVersion>15.0000</AppVersion>
  <Pages>4</Pages>
  <Words>779</Words>
  <Characters>5018</Characters>
  <CharactersWithSpaces>5690</CharactersWithSpaces>
  <Paragraphs>105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2026-01-16T05:04:46Z</dcterms:created>
  <dc:creator/>
  <dc:description/>
  <dc:language>en-US</dc:language>
  <cp:lastModifiedBy/>
  <dcterms:modified xsi:type="dcterms:W3CDTF">2026-01-19T14:07:37Z</dcterms:modified>
  <cp:revision>3</cp:revision>
  <dc:subject/>
  <dc:title/>
</cp:coreProperties>
</file>