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before="280" w:after="160"/>
        <w:rPr/>
      </w:pPr>
      <w:r>
        <w:rPr/>
        <w:t>Opening (~30 seconds)</w:t>
      </w:r>
    </w:p>
    <w:p>
      <w:pPr>
        <w:pStyle w:val="Normal"/>
        <w:spacing w:before="0" w:after="200"/>
        <w:rPr/>
      </w:pPr>
      <w:r>
        <w:rPr/>
        <w:t>With data flowing into your system, from traditional clinical measures and digital biomarkers alike, you now face a crucial question: Is your study on track?</w:t>
      </w:r>
    </w:p>
    <w:p>
      <w:pPr>
        <w:pStyle w:val="Normal"/>
        <w:spacing w:before="0" w:after="200"/>
        <w:rPr/>
      </w:pPr>
      <w:r>
        <w:rPr/>
        <w:t>Study monitoring is about seeing the forest, not just the trees. It's one thing to collect data point by point; it's another to understand whether your enrollment targets will be met, whether participants are completing their visits, and whether data quality is where it needs to be.</w:t>
      </w:r>
    </w:p>
    <w:p>
      <w:pPr>
        <w:pStyle w:val="Normal"/>
        <w:spacing w:before="0" w:after="200"/>
        <w:rPr/>
      </w:pPr>
      <w:r>
        <w:rPr/>
        <w:t>In this section, we'll explore how to monitor your study's health using the dashboards, metrics, and alerts that a CTMS provides.</w:t>
      </w:r>
    </w:p>
    <w:p>
      <w:pPr>
        <w:pStyle w:val="Heading2"/>
        <w:rPr/>
      </w:pPr>
      <w:r>
        <w:rPr/>
        <w:t>Enrollment Tracking (~2 minutes)</w:t>
      </w:r>
    </w:p>
    <w:p>
      <w:pPr>
        <w:pStyle w:val="Normal"/>
        <w:spacing w:before="0" w:after="200"/>
        <w:rPr/>
      </w:pPr>
      <w:r>
        <w:rPr/>
        <w:t>Enrollment is the lifeblood of a clinical study. Without participants, there's no study. Tracking enrollment progress against your targets is fundamental to study management.</w:t>
      </w:r>
    </w:p>
    <w:p>
      <w:pPr>
        <w:pStyle w:val="Normal"/>
        <w:spacing w:before="0" w:after="200"/>
        <w:rPr/>
      </w:pPr>
      <w:r>
        <w:rPr/>
        <w:t>Most CTMS platforms provide enrollment dashboards showing current enrollment versus targets over time. You can see at a glance: How many participants have been screened? How many enrolled? Are you ahead of schedule or falling behind?</w:t>
      </w:r>
    </w:p>
    <w:p>
      <w:pPr>
        <w:pStyle w:val="Normal"/>
        <w:spacing w:before="0" w:after="200"/>
        <w:rPr/>
      </w:pPr>
      <w:r>
        <w:rPr/>
        <w:t>The enrollment curve tells a story. A healthy study shows steady enrollment accumulating toward the target. A struggling study might show a curve that flattens, initial enrollees came quickly, but the pace has slowed. Recognizing this pattern early lets you take corrective action: intensifying recruitment efforts, expanding to additional sites, or revising inclusion criteria if appropriate.</w:t>
      </w:r>
    </w:p>
    <w:p>
      <w:pPr>
        <w:pStyle w:val="Normal"/>
        <w:spacing w:before="0" w:after="200"/>
        <w:rPr/>
      </w:pPr>
      <w:r>
        <w:rPr/>
        <w:t>The screening-to-enrollment ratio is another key metric. If you're screening many people but few are enrolling, something may be wrong with your eligibility criteria, your consent process, or the population you're reaching. A ratio that changes over time, perhaps worsening as you exhaust the most eligible candidates, signals the need for strategy adjustment.</w:t>
      </w:r>
    </w:p>
    <w:p>
      <w:pPr>
        <w:pStyle w:val="Normal"/>
        <w:spacing w:before="0" w:after="200"/>
        <w:rPr/>
      </w:pPr>
      <w:r>
        <w:rPr/>
        <w:t>For multi-site studies, enrollment tracking by site reveals which sites are contributing and which are struggling. This information guides resource allocation: perhaps a high-performing site needs more capacity while a low-performing site needs additional training or support.</w:t>
      </w:r>
    </w:p>
    <w:p>
      <w:pPr>
        <w:pStyle w:val="Heading2"/>
        <w:rPr/>
      </w:pPr>
      <w:r>
        <w:rPr/>
        <w:t>Retention and Dropout Monitoring (~1.5 minutes)</w:t>
      </w:r>
    </w:p>
    <w:p>
      <w:pPr>
        <w:pStyle w:val="Normal"/>
        <w:spacing w:before="0" w:after="200"/>
        <w:rPr/>
      </w:pPr>
      <w:r>
        <w:rPr/>
        <w:t>Getting participants enrolled is only half the battle. Keeping them engaged through study completion is equally important. High dropout rates threaten statistical power and can introduce bias if dropouts differ systematically from completers.</w:t>
      </w:r>
    </w:p>
    <w:p>
      <w:pPr>
        <w:pStyle w:val="Normal"/>
        <w:spacing w:before="0" w:after="200"/>
        <w:rPr/>
      </w:pPr>
      <w:r>
        <w:rPr/>
        <w:t>Retention tracking shows what percentage of enrolled participants remain active, what percentage have withdrawn, and what percentage have completed. Trends over time reveal whether retention is stable or deteriorating.</w:t>
      </w:r>
    </w:p>
    <w:p>
      <w:pPr>
        <w:pStyle w:val="Normal"/>
        <w:spacing w:before="0" w:after="200"/>
        <w:rPr/>
      </w:pPr>
      <w:r>
        <w:rPr/>
        <w:t>Dropout analysis goes deeper. Why are participants leaving? The CTMS captures withdrawal reasons, and aggregating these reasons reveals patterns. If many participants cite the same issue, burdensome visit schedules, side effects of intervention, life circumstances, that's actionable information.</w:t>
      </w:r>
    </w:p>
    <w:p>
      <w:pPr>
        <w:pStyle w:val="Normal"/>
        <w:spacing w:before="0" w:after="200"/>
        <w:rPr/>
      </w:pPr>
      <w:r>
        <w:rPr/>
        <w:t>Time-to-dropout is another useful metric. Do participants tend to drop out early, perhaps during a demanding initial phase? Or do they leave later, perhaps due to fatigue or life changes? Understanding when dropout occurs helps you target retention interventions.</w:t>
      </w:r>
    </w:p>
    <w:p>
      <w:pPr>
        <w:pStyle w:val="Normal"/>
        <w:spacing w:before="0" w:after="200"/>
        <w:rPr/>
      </w:pPr>
      <w:r>
        <w:rPr/>
        <w:t>Survival curves or retention plots visualize these patterns. They show the probability of remaining in the study over time and make it easy to spot concerning trends or compare retention across sites or cohorts.</w:t>
      </w:r>
    </w:p>
    <w:p>
      <w:pPr>
        <w:pStyle w:val="Heading2"/>
        <w:rPr/>
      </w:pPr>
      <w:r>
        <w:rPr/>
        <w:t>Data Completeness Monitoring (~1.5 minutes)</w:t>
      </w:r>
    </w:p>
    <w:p>
      <w:pPr>
        <w:pStyle w:val="Normal"/>
        <w:spacing w:before="0" w:after="200"/>
        <w:rPr/>
      </w:pPr>
      <w:r>
        <w:rPr/>
        <w:t>Even when participants attend their visits, data might not be collected completely. A coordinator might skip an assessment due to time pressure. A lab sample might not be drawn. A questionnaire might be partially completed.</w:t>
      </w:r>
    </w:p>
    <w:p>
      <w:pPr>
        <w:pStyle w:val="Normal"/>
        <w:spacing w:before="0" w:after="200"/>
        <w:rPr/>
      </w:pPr>
      <w:r>
        <w:rPr/>
        <w:t>Data completeness monitoring tracks what percentage of expected data has actually been captured. The CTMS knows what data should exist, based on the protocol's visit schedule and data collection requirements, and can compare that to what data does exist.</w:t>
      </w:r>
    </w:p>
    <w:p>
      <w:pPr>
        <w:pStyle w:val="Normal"/>
        <w:spacing w:before="0" w:after="200"/>
        <w:rPr/>
      </w:pPr>
      <w:r>
        <w:rPr/>
        <w:t>Completeness dashboards might show overall completeness, completeness by visit, completeness by form or assessment type, or completeness by site. Each view reveals different potential issues.</w:t>
      </w:r>
    </w:p>
    <w:p>
      <w:pPr>
        <w:pStyle w:val="Normal"/>
        <w:spacing w:before="0" w:after="200"/>
        <w:rPr/>
      </w:pPr>
      <w:r>
        <w:rPr/>
        <w:t>Low completeness on a specific assessment might mean that assessment is too burdensome or that staff aren't properly trained to administer it. Low completeness at a particular site might indicate staffing problems or process breakdowns. Low completeness at a particular visit might suggest that visit is too long or that certain assessments are being deprioritized.</w:t>
      </w:r>
    </w:p>
    <w:p>
      <w:pPr>
        <w:pStyle w:val="Normal"/>
        <w:spacing w:before="0" w:after="200"/>
        <w:rPr/>
      </w:pPr>
      <w:r>
        <w:rPr/>
        <w:t>The goal isn't just to document completeness retrospectively, it's to catch gaps early enough to recover the data if possible or to prevent similar gaps going forward.</w:t>
      </w:r>
    </w:p>
    <w:p>
      <w:pPr>
        <w:pStyle w:val="Heading2"/>
        <w:rPr/>
      </w:pPr>
      <w:r>
        <w:rPr/>
        <w:t>Visit Compliance and Windows (~1 minute)</w:t>
      </w:r>
    </w:p>
    <w:p>
      <w:pPr>
        <w:pStyle w:val="Normal"/>
        <w:spacing w:before="0" w:after="200"/>
        <w:rPr/>
      </w:pPr>
      <w:r>
        <w:rPr/>
        <w:t>Protocols define not just what data to collect, but when. A Week 4 visit that happens on Day 45 might fall outside its acceptable window and constitute a protocol deviation.</w:t>
      </w:r>
    </w:p>
    <w:p>
      <w:pPr>
        <w:pStyle w:val="Normal"/>
        <w:spacing w:before="0" w:after="200"/>
        <w:rPr/>
      </w:pPr>
      <w:r>
        <w:rPr/>
        <w:t>Visit compliance monitoring tracks whether visits occur within their designated windows. The CTMS can show: How many visits have occurred on time, early, or late? What's the average deviation from target dates? Are certain visits consistently problematic?</w:t>
      </w:r>
    </w:p>
    <w:p>
      <w:pPr>
        <w:pStyle w:val="Normal"/>
        <w:spacing w:before="0" w:after="200"/>
        <w:rPr/>
      </w:pPr>
      <w:r>
        <w:rPr/>
        <w:t>This matters for data quality, assessments done outside windows may be less comparable, and for regulatory compliance. Systematic out-of-window visits raise questions about protocol adherence.</w:t>
      </w:r>
    </w:p>
    <w:p>
      <w:pPr>
        <w:pStyle w:val="Normal"/>
        <w:spacing w:before="0" w:after="200"/>
        <w:rPr/>
      </w:pPr>
      <w:r>
        <w:rPr/>
        <w:t>Upcoming visit reports help prevent compliance issues. Knowing which visits are due soon, and which are approaching window boundaries, lets coordinators prioritize scheduling and follow-up.</w:t>
      </w:r>
    </w:p>
    <w:p>
      <w:pPr>
        <w:pStyle w:val="Heading2"/>
        <w:rPr/>
      </w:pPr>
      <w:r>
        <w:rPr/>
        <w:t>Recording Activity and Heatmaps (~1 minute)</w:t>
      </w:r>
    </w:p>
    <w:p>
      <w:pPr>
        <w:pStyle w:val="Normal"/>
        <w:spacing w:before="0" w:after="200"/>
        <w:rPr/>
      </w:pPr>
      <w:r>
        <w:rPr/>
        <w:t>Beyond structured metrics, overall activity patterns provide insight into study operations. When is data being entered? By whom? How much?</w:t>
      </w:r>
    </w:p>
    <w:p>
      <w:pPr>
        <w:pStyle w:val="Normal"/>
        <w:spacing w:before="0" w:after="200"/>
        <w:rPr/>
      </w:pPr>
      <w:r>
        <w:rPr/>
        <w:t>Activity heatmaps visualize data entry patterns over time. You might see heavy activity on Mondays and Fridays when coordinators have clinic time. You might spot periods of unusual inactivity, holidays, staff transitions, or system problems. You might notice a site that was active but has gone quiet.</w:t>
      </w:r>
    </w:p>
    <w:p>
      <w:pPr>
        <w:pStyle w:val="Normal"/>
        <w:spacing w:before="0" w:after="200"/>
        <w:rPr/>
      </w:pPr>
      <w:r>
        <w:rPr/>
        <w:t>These patterns help with resource planning and early problem detection. A sudden drop in activity might warrant investigation. A consistent pattern of delayed entry, visits happening Monday but data entered Friday, might indicate workflow issues worth addressing.</w:t>
      </w:r>
    </w:p>
    <w:p>
      <w:pPr>
        <w:pStyle w:val="Heading2"/>
        <w:rPr/>
      </w:pPr>
      <w:r>
        <w:rPr/>
        <w:t>Key Performance Indicators (~1 minute)</w:t>
      </w:r>
    </w:p>
    <w:p>
      <w:pPr>
        <w:pStyle w:val="Normal"/>
        <w:spacing w:before="0" w:after="200"/>
        <w:rPr/>
      </w:pPr>
      <w:r>
        <w:rPr/>
        <w:t>Bringing it all together, most CTMS platforms provide summary dashboards with key performance indicators, the handful of metrics that matter most for understanding study health.</w:t>
      </w:r>
    </w:p>
    <w:p>
      <w:pPr>
        <w:pStyle w:val="Normal"/>
        <w:spacing w:before="0" w:after="200"/>
        <w:rPr/>
      </w:pPr>
      <w:r>
        <w:rPr/>
        <w:t>Common KPIs include: enrollment rate, participants enrolled per week or month; screen failure rate, what percentage of screened candidates don't qualify; retention rate, what percentage of enrolled participants remain active; visit compliance, what percentage of visits occur within windows; data completeness, what percentage of expected data is captured; and query rate, how many data queries per participant, indicating data quality.</w:t>
      </w:r>
    </w:p>
    <w:p>
      <w:pPr>
        <w:pStyle w:val="Normal"/>
        <w:spacing w:before="0" w:after="200"/>
        <w:rPr/>
      </w:pPr>
      <w:r>
        <w:rPr/>
        <w:t>These KPIs might be displayed as numbers, charts, or status indicators, green for on track, yellow for caution, red for concern. The goal is a quick, accurate read on study status for anyone who needs it.</w:t>
      </w:r>
    </w:p>
    <w:p>
      <w:pPr>
        <w:pStyle w:val="Normal"/>
        <w:spacing w:before="0" w:after="200"/>
        <w:rPr/>
      </w:pPr>
      <w:r>
        <w:rPr/>
        <w:t>Regular review of these metrics, weekly, monthly, or at whatever cadence fits your study, keeps the team aligned and surfaces issues before they become crises.</w:t>
      </w:r>
    </w:p>
    <w:p>
      <w:pPr>
        <w:pStyle w:val="Heading2"/>
        <w:rPr/>
      </w:pPr>
      <w:r>
        <w:rPr/>
        <w:t>Closing (~30 seconds)</w:t>
      </w:r>
    </w:p>
    <w:p>
      <w:pPr>
        <w:pStyle w:val="Normal"/>
        <w:spacing w:before="0" w:after="200"/>
        <w:rPr/>
      </w:pPr>
      <w:r>
        <w:rPr/>
        <w:t>Monitoring keeps your study healthy by making the invisible visible, turning raw data into actionable insights about enrollment, retention, data quality, and compliance.</w:t>
      </w:r>
    </w:p>
    <w:p>
      <w:pPr>
        <w:pStyle w:val="Normal"/>
        <w:spacing w:before="0" w:after="200"/>
        <w:rPr/>
      </w:pPr>
      <w:r>
        <w:rPr/>
        <w:t>With monitoring in place, you have the foundation for the next step: actually analyzing your data. In the next topic, we'll introduce clinical data analysis, transforming collected data into scientific insights.</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Arial">
    <w:charset w:val="01"/>
    <w:family w:val="swiss"/>
    <w:pitch w:val="variable"/>
  </w:font>
  <w:font w:name="Liberation Sans">
    <w:altName w:val="Arial"/>
    <w:charset w:val="01"/>
    <w:family w:val="swiss"/>
    <w:pitch w:val="variable"/>
  </w:font>
</w:fonts>
</file>

<file path=word/settings.xml><?xml version="1.0" encoding="utf-8"?>
<w:settings xmlns:w="http://schemas.openxmlformats.org/wordprocessingml/2006/main">
  <w:zoom w:percent="81"/>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4"/>
        <w:szCs w:val="24"/>
        <w:lang w:val="en-US" w:eastAsia="zh-CN" w:bidi="hi-IN"/>
      </w:rPr>
    </w:rPrDefault>
    <w:pPrDefault>
      <w:pPr>
        <w:suppressAutoHyphens w:val="true"/>
      </w:pPr>
    </w:pPrDefault>
  </w:docDefaults>
  <w:style w:type="paragraph" w:styleId="Normal">
    <w:name w:val="Normal"/>
    <w:qFormat/>
    <w:pPr>
      <w:widowControl/>
      <w:bidi w:val="0"/>
      <w:spacing w:before="0" w:after="0"/>
      <w:jc w:val="left"/>
    </w:pPr>
    <w:rPr>
      <w:rFonts w:ascii="Arial" w:hAnsi="Arial" w:eastAsia="Arial" w:cs="Arial"/>
      <w:color w:val="auto"/>
      <w:kern w:val="0"/>
      <w:sz w:val="24"/>
      <w:szCs w:val="24"/>
      <w:lang w:val="en-US" w:eastAsia="zh-CN" w:bidi="hi-IN"/>
    </w:rPr>
  </w:style>
  <w:style w:type="paragraph" w:styleId="Heading1">
    <w:name w:val="Heading 1"/>
    <w:basedOn w:val="Heading"/>
    <w:qFormat/>
    <w:pPr>
      <w:spacing w:before="360" w:after="200"/>
      <w:outlineLvl w:val="0"/>
    </w:pPr>
    <w:rPr>
      <w:rFonts w:ascii="Arial" w:hAnsi="Arial" w:eastAsia="Arial" w:cs="Arial"/>
      <w:b/>
      <w:bCs/>
      <w:sz w:val="32"/>
      <w:szCs w:val="32"/>
    </w:rPr>
  </w:style>
  <w:style w:type="paragraph" w:styleId="Heading2">
    <w:name w:val="Heading 2"/>
    <w:basedOn w:val="Heading"/>
    <w:qFormat/>
    <w:pPr>
      <w:spacing w:before="280" w:after="160"/>
      <w:outlineLvl w:val="1"/>
    </w:pPr>
    <w:rPr>
      <w:rFonts w:ascii="Arial" w:hAnsi="Arial" w:eastAsia="Arial" w:cs="Arial"/>
      <w:b/>
      <w:bCs/>
      <w:sz w:val="28"/>
      <w:szCs w:val="28"/>
    </w:rPr>
  </w:style>
  <w:style w:type="paragraph" w:styleId="Heading3">
    <w:name w:val="Heading 3"/>
    <w:basedOn w:val="Heading"/>
    <w:qFormat/>
    <w:pPr/>
    <w:rPr>
      <w:color w:val="1F4D78"/>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Heading"/>
    <w:qFormat/>
    <w:pPr/>
    <w:rPr>
      <w:sz w:val="56"/>
      <w:szCs w:val="56"/>
    </w:rPr>
  </w:style>
  <w:style w:type="paragraph" w:styleId="StrongEmphasis">
    <w:name w:val="Strong Emphasis"/>
    <w:qFormat/>
    <w:pPr>
      <w:widowControl/>
      <w:bidi w:val="0"/>
      <w:spacing w:before="0" w:after="0"/>
      <w:jc w:val="left"/>
    </w:pPr>
    <w:rPr>
      <w:rFonts w:ascii="Arial" w:hAnsi="Arial" w:eastAsia="Arial" w:cs="Arial"/>
      <w:b/>
      <w:bCs/>
      <w:color w:val="auto"/>
      <w:kern w:val="0"/>
      <w:sz w:val="24"/>
      <w:szCs w:val="24"/>
      <w:lang w:val="en-US" w:eastAsia="zh-CN" w:bidi="hi-IN"/>
    </w:rPr>
  </w:style>
  <w:style w:type="paragraph" w:styleId="ListParagraph">
    <w:name w:val="List Paragraph"/>
    <w:qFormat/>
    <w:pPr>
      <w:widowControl/>
      <w:bidi w:val="0"/>
      <w:spacing w:before="0" w:after="0"/>
      <w:jc w:val="left"/>
    </w:pPr>
    <w:rPr>
      <w:rFonts w:ascii="Arial" w:hAnsi="Arial" w:eastAsia="Arial" w:cs="Arial"/>
      <w:color w:val="auto"/>
      <w:kern w:val="0"/>
      <w:sz w:val="24"/>
      <w:szCs w:val="24"/>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LibreOffice/24.2.7.2$Linux_X86_64 LibreOffice_project/420$Build-2</Application>
  <AppVersion>15.0000</AppVersion>
  <Pages>3</Pages>
  <Words>1112</Words>
  <Characters>6514</Characters>
  <CharactersWithSpaces>7587</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2026-01-18T19:41:36Z</dcterms:created>
  <dc:creator>Un-named</dc:creator>
  <dc:description/>
  <dc:language>en-US</dc:language>
  <cp:lastModifiedBy/>
  <dcterms:modified xsi:type="dcterms:W3CDTF">2026-01-19T06:50:59Z</dcterms:modified>
  <cp:revision>2</cp:revision>
  <dc:subject/>
  <dc:title/>
</cp:coreProperties>
</file>