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spacing w:before="280" w:after="160"/>
        <w:rPr/>
      </w:pPr>
      <w:r>
        <w:rPr/>
        <w:t>Opening (~30 seconds)</w:t>
      </w:r>
    </w:p>
    <w:p>
      <w:pPr>
        <w:pStyle w:val="Normal"/>
        <w:spacing w:before="0" w:after="200"/>
        <w:rPr/>
      </w:pPr>
      <w:r>
        <w:rPr/>
        <w:t>Clinical research requires resources, staff time, equipment, supplies, participant compensation, and more. Whether you're running a small investigator-initiated study or coordinating a multi-site trial, understanding the financial dimension helps you plan realistically, allocate resources wisely, and avoid surprises that could derail your research.</w:t>
      </w:r>
    </w:p>
    <w:p>
      <w:pPr>
        <w:pStyle w:val="Normal"/>
        <w:spacing w:before="0" w:after="200"/>
        <w:rPr/>
      </w:pPr>
      <w:r>
        <w:rPr/>
        <w:t>In this section, we'll explore the basics of clinical research finance, not to make you an accountant, but to give you awareness of how studies are funded and how costs are managed.</w:t>
      </w:r>
    </w:p>
    <w:p>
      <w:pPr>
        <w:pStyle w:val="Heading2"/>
        <w:rPr/>
      </w:pPr>
      <w:r>
        <w:rPr/>
        <w:t>Study Budget Components (~1.5 minutes)</w:t>
      </w:r>
    </w:p>
    <w:p>
      <w:pPr>
        <w:pStyle w:val="Normal"/>
        <w:spacing w:before="0" w:after="200"/>
        <w:rPr/>
      </w:pPr>
      <w:r>
        <w:rPr/>
        <w:t>A clinical study budget typically has several major categories.</w:t>
      </w:r>
    </w:p>
    <w:p>
      <w:pPr>
        <w:pStyle w:val="Normal"/>
        <w:spacing w:before="0" w:after="200"/>
        <w:rPr/>
      </w:pPr>
      <w:r>
        <w:rPr/>
        <w:t>Personnel costs are usually the largest component. This includes the principal investigator's time, study coordinators, data managers, research nurses, and administrative support. Time must be allocated realistically, enrollment, visits, data entry, query resolution, and study closeout all require staff effort.</w:t>
      </w:r>
    </w:p>
    <w:p>
      <w:pPr>
        <w:pStyle w:val="Normal"/>
        <w:spacing w:before="0" w:after="200"/>
        <w:rPr/>
      </w:pPr>
      <w:r>
        <w:rPr/>
        <w:t>Participant costs include recruitment expenses like advertising and screening, as well as participant compensation for time and travel. Some studies cover parking, meals, or childcare to reduce barriers to participation.</w:t>
      </w:r>
    </w:p>
    <w:p>
      <w:pPr>
        <w:pStyle w:val="Normal"/>
        <w:spacing w:before="0" w:after="200"/>
        <w:rPr/>
      </w:pPr>
      <w:r>
        <w:rPr/>
        <w:t>Laboratory and procedures cover the cost of tests performed for the study, blood draws, imaging, specialized assays. Standard-of-care tests that would happen regardless of the study are typically billed separately.</w:t>
      </w:r>
    </w:p>
    <w:p>
      <w:pPr>
        <w:pStyle w:val="Normal"/>
        <w:spacing w:before="0" w:after="200"/>
        <w:rPr/>
      </w:pPr>
      <w:r>
        <w:rPr/>
        <w:t>Equipment and supplies include study-specific materials: devices, questionnaire licenses, specimen collection kits, wearables if used. Technology costs cover the CTMS itself, electronic data capture systems, and any specialized software.</w:t>
      </w:r>
    </w:p>
    <w:p>
      <w:pPr>
        <w:pStyle w:val="Normal"/>
        <w:spacing w:before="0" w:after="200"/>
        <w:rPr/>
      </w:pPr>
      <w:r>
        <w:rPr/>
        <w:t>Indirect costs, sometimes called overhead or facilities and administration, cover institutional infrastructure, building maintenance, utilities, administrative support services. These are typically calculated as a percentage of direct costs.</w:t>
      </w:r>
    </w:p>
    <w:p>
      <w:pPr>
        <w:pStyle w:val="Heading2"/>
        <w:rPr/>
      </w:pPr>
      <w:r>
        <w:rPr/>
        <w:t>Funding Models (~1 minute)</w:t>
      </w:r>
    </w:p>
    <w:p>
      <w:pPr>
        <w:pStyle w:val="Normal"/>
        <w:spacing w:before="0" w:after="200"/>
        <w:rPr/>
      </w:pPr>
      <w:r>
        <w:rPr/>
        <w:t>Studies are funded through various mechanisms, each with different implications.</w:t>
      </w:r>
    </w:p>
    <w:p>
      <w:pPr>
        <w:pStyle w:val="Normal"/>
        <w:spacing w:before="0" w:after="200"/>
        <w:rPr/>
      </w:pPr>
      <w:r>
        <w:rPr/>
        <w:t>Grant funding from government agencies or foundations typically provides a fixed budget based on a detailed proposal. You have flexibility in how funds are spent within approved categories, but the total is capped. Cost overruns come from elsewhere.</w:t>
      </w:r>
    </w:p>
    <w:p>
      <w:pPr>
        <w:pStyle w:val="Normal"/>
        <w:spacing w:before="0" w:after="200"/>
        <w:rPr/>
      </w:pPr>
      <w:r>
        <w:rPr/>
        <w:t>Industry-sponsored studies are funded by pharmaceutical or device companies. Payments often come as per-participant fees, a set amount for each enrolled participant who completes certain milestones. This aligns payment with study progress but means revenue depends on enrollment success.</w:t>
      </w:r>
    </w:p>
    <w:p>
      <w:pPr>
        <w:pStyle w:val="Normal"/>
        <w:spacing w:before="0" w:after="200"/>
        <w:rPr/>
      </w:pPr>
      <w:r>
        <w:rPr/>
        <w:t>Institutional support may cover pilot studies or early-stage research, usually with limited budgets and internal approval processes.</w:t>
      </w:r>
    </w:p>
    <w:p>
      <w:pPr>
        <w:pStyle w:val="Normal"/>
        <w:spacing w:before="0" w:after="200"/>
        <w:rPr/>
      </w:pPr>
      <w:r>
        <w:rPr/>
        <w:t>Understanding your funding model helps you anticipate cash flow, plan for contingencies, and make informed decisions when tradeoffs arise.</w:t>
      </w:r>
    </w:p>
    <w:p>
      <w:pPr>
        <w:pStyle w:val="Heading2"/>
        <w:rPr/>
      </w:pPr>
      <w:r>
        <w:rPr/>
        <w:t>Per-Participant Economics (~1 minute)</w:t>
      </w:r>
    </w:p>
    <w:p>
      <w:pPr>
        <w:pStyle w:val="Normal"/>
        <w:spacing w:before="0" w:after="200"/>
        <w:rPr/>
      </w:pPr>
      <w:r>
        <w:rPr/>
        <w:t>Many study finances come down to per-participant calculations. What does it cost to enroll and follow one participant through the complete study?</w:t>
      </w:r>
    </w:p>
    <w:p>
      <w:pPr>
        <w:pStyle w:val="Normal"/>
        <w:spacing w:before="0" w:after="200"/>
        <w:rPr/>
      </w:pPr>
      <w:r>
        <w:rPr/>
        <w:t>This includes direct costs: screening procedures, baseline assessments, all follow-up visits, all tests and procedures, participant compensation, and a share of staff time proportional to the effort required.</w:t>
      </w:r>
    </w:p>
    <w:p>
      <w:pPr>
        <w:pStyle w:val="Normal"/>
        <w:spacing w:before="0" w:after="200"/>
        <w:rPr/>
      </w:pPr>
      <w:r>
        <w:rPr/>
        <w:t>Screen failures matter financially. If your screen failure rate is fifty percent, you're spending resources on two screenings for every enrolled participant. High screen failure rates increase effective per-participant costs.</w:t>
      </w:r>
    </w:p>
    <w:p>
      <w:pPr>
        <w:pStyle w:val="Normal"/>
        <w:spacing w:before="0" w:after="200"/>
        <w:rPr/>
      </w:pPr>
      <w:r>
        <w:rPr/>
        <w:t>Dropouts also affect economics. A participant who withdraws after baseline but before completing follow-up represents sunk costs without full data return. Retention directly impacts both scientific value and financial efficiency.</w:t>
      </w:r>
    </w:p>
    <w:p>
      <w:pPr>
        <w:pStyle w:val="Normal"/>
        <w:spacing w:before="0" w:after="200"/>
        <w:rPr/>
      </w:pPr>
      <w:r>
        <w:rPr/>
        <w:t>Protocol amendments can have budget implications. Adding visits, adding assessments, or extending follow-up duration increases costs. When amendments are necessary, their financial impact should be considered.</w:t>
      </w:r>
    </w:p>
    <w:p>
      <w:pPr>
        <w:pStyle w:val="Heading2"/>
        <w:rPr/>
      </w:pPr>
      <w:r>
        <w:rPr/>
        <w:t>Financial Tracking in the CTMS (~1 minute)</w:t>
      </w:r>
    </w:p>
    <w:p>
      <w:pPr>
        <w:pStyle w:val="Normal"/>
        <w:spacing w:before="0" w:after="200"/>
        <w:rPr/>
      </w:pPr>
      <w:r>
        <w:rPr/>
        <w:t>Modern CTMS platforms can support financial tracking alongside operational data.</w:t>
      </w:r>
    </w:p>
    <w:p>
      <w:pPr>
        <w:pStyle w:val="Normal"/>
        <w:spacing w:before="0" w:after="200"/>
        <w:rPr/>
      </w:pPr>
      <w:r>
        <w:rPr/>
        <w:t>Visit-based billing tracks which visits have been completed and are therefore billable. For industry studies with per-visit payments, this connects operational progress to revenue recognition.</w:t>
      </w:r>
    </w:p>
    <w:p>
      <w:pPr>
        <w:pStyle w:val="Normal"/>
        <w:spacing w:before="0" w:after="200"/>
        <w:rPr/>
      </w:pPr>
      <w:r>
        <w:rPr/>
        <w:t>Budget versus actual reporting compares planned spending to actual expenditures. Are you on track? Spending faster than expected? This visibility enables course correction before problems become serious.</w:t>
      </w:r>
    </w:p>
    <w:p>
      <w:pPr>
        <w:pStyle w:val="Normal"/>
        <w:spacing w:before="0" w:after="200"/>
        <w:rPr/>
      </w:pPr>
      <w:r>
        <w:rPr/>
        <w:t>Invoicing support generates documentation needed to request payment from sponsors, showing completed milestones and visits.</w:t>
      </w:r>
    </w:p>
    <w:p>
      <w:pPr>
        <w:pStyle w:val="Normal"/>
        <w:spacing w:before="0" w:after="200"/>
        <w:rPr/>
      </w:pPr>
      <w:r>
        <w:rPr/>
        <w:t>Even if your CTMS doesn't have full financial modules, the operational data it contains, enrollment counts, visit completion, participant status, feeds directly into financial calculations and reporting.</w:t>
      </w:r>
    </w:p>
    <w:p>
      <w:pPr>
        <w:pStyle w:val="Heading2"/>
        <w:rPr/>
      </w:pPr>
      <w:r>
        <w:rPr/>
        <w:t>Common Financial Pitfalls (~1 minute)</w:t>
      </w:r>
    </w:p>
    <w:p>
      <w:pPr>
        <w:pStyle w:val="Normal"/>
        <w:spacing w:before="0" w:after="200"/>
        <w:rPr/>
      </w:pPr>
      <w:r>
        <w:rPr/>
        <w:t>Several common issues can strain study finances.</w:t>
      </w:r>
    </w:p>
    <w:p>
      <w:pPr>
        <w:pStyle w:val="Normal"/>
        <w:spacing w:before="0" w:after="200"/>
        <w:rPr/>
      </w:pPr>
      <w:r>
        <w:rPr/>
        <w:t>Underestimating enrollment time means fixed costs, staff, systems, overhead, continue while enrollment lags. A six-month enrollment period that stretches to twelve months can significantly increase total costs.</w:t>
      </w:r>
    </w:p>
    <w:p>
      <w:pPr>
        <w:pStyle w:val="Normal"/>
        <w:spacing w:before="0" w:after="200"/>
        <w:rPr/>
      </w:pPr>
      <w:r>
        <w:rPr/>
        <w:t>Scope creep occurs when small additions accumulate. An extra questionnaire here, an additional blood draw there, each seems minor, but together they inflate costs and burden.</w:t>
      </w:r>
    </w:p>
    <w:p>
      <w:pPr>
        <w:pStyle w:val="Normal"/>
        <w:spacing w:before="0" w:after="200"/>
        <w:rPr/>
      </w:pPr>
      <w:r>
        <w:rPr/>
        <w:t>Inadequate contingency planning leaves no buffer for unexpected expenses, equipment failures, staff turnover, protocol amendments. A prudent budget includes contingency reserves.</w:t>
      </w:r>
    </w:p>
    <w:p>
      <w:pPr>
        <w:pStyle w:val="Normal"/>
        <w:spacing w:before="0" w:after="200"/>
        <w:rPr/>
      </w:pPr>
      <w:r>
        <w:rPr/>
        <w:t>Poor documentation can delay payments. If you can't demonstrate that milestones were met, sponsors may withhold payment. The CTMS audit trail and visit records provide this documentation.</w:t>
      </w:r>
    </w:p>
    <w:p>
      <w:pPr>
        <w:pStyle w:val="Heading2"/>
        <w:rPr/>
      </w:pPr>
      <w:r>
        <w:rPr/>
        <w:t>Closing (~30 seconds)</w:t>
      </w:r>
    </w:p>
    <w:p>
      <w:pPr>
        <w:pStyle w:val="Normal"/>
        <w:spacing w:before="0" w:after="200"/>
        <w:rPr/>
      </w:pPr>
      <w:r>
        <w:rPr/>
        <w:t>Financial awareness isn't about becoming a budget expert, it's about understanding that resources are finite and that good science requires good stewardship.</w:t>
      </w:r>
    </w:p>
    <w:p>
      <w:pPr>
        <w:pStyle w:val="Normal"/>
        <w:spacing w:before="0" w:after="200"/>
        <w:rPr/>
      </w:pPr>
      <w:r>
        <w:rPr/>
        <w:t>When you track enrollment diligently, minimize screen failures, retain participants, and document everything properly, you're not just doing good research, you're also protecting the study's financial health.</w:t>
      </w:r>
    </w:p>
    <w:p>
      <w:pPr>
        <w:pStyle w:val="Normal"/>
        <w:spacing w:before="0" w:after="200"/>
        <w:rPr/>
      </w:pPr>
      <w:r>
        <w:rPr/>
        <w:t>Financial sustainability enables scientific success. With these fundamentals in mind, let's turn to another critical dimension of research management: quality, compliance, and audit readiness.</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Arial">
    <w:charset w:val="01"/>
    <w:family w:val="swiss"/>
    <w:pitch w:val="variable"/>
  </w:font>
  <w:font w:name="Liberation Sans">
    <w:altName w:val="Arial"/>
    <w:charset w:val="01"/>
    <w:family w:val="swiss"/>
    <w:pitch w:val="variable"/>
  </w:font>
</w:fonts>
</file>

<file path=word/settings.xml><?xml version="1.0" encoding="utf-8"?>
<w:settings xmlns:w="http://schemas.openxmlformats.org/wordprocessingml/2006/main">
  <w:zoom w:percent="81"/>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4"/>
        <w:szCs w:val="24"/>
        <w:lang w:val="en-US" w:eastAsia="zh-CN" w:bidi="hi-IN"/>
      </w:rPr>
    </w:rPrDefault>
    <w:pPrDefault>
      <w:pPr>
        <w:suppressAutoHyphens w:val="true"/>
      </w:pPr>
    </w:pPrDefault>
  </w:docDefaults>
  <w:style w:type="paragraph" w:styleId="Normal">
    <w:name w:val="Normal"/>
    <w:qFormat/>
    <w:pPr>
      <w:widowControl/>
      <w:bidi w:val="0"/>
      <w:spacing w:before="0" w:after="0"/>
      <w:jc w:val="left"/>
    </w:pPr>
    <w:rPr>
      <w:rFonts w:ascii="Arial" w:hAnsi="Arial" w:eastAsia="Arial" w:cs="Arial"/>
      <w:color w:val="auto"/>
      <w:kern w:val="0"/>
      <w:sz w:val="24"/>
      <w:szCs w:val="24"/>
      <w:lang w:val="en-US" w:eastAsia="zh-CN" w:bidi="hi-IN"/>
    </w:rPr>
  </w:style>
  <w:style w:type="paragraph" w:styleId="Heading1">
    <w:name w:val="Heading 1"/>
    <w:basedOn w:val="Heading"/>
    <w:qFormat/>
    <w:pPr>
      <w:spacing w:before="360" w:after="200"/>
      <w:outlineLvl w:val="0"/>
    </w:pPr>
    <w:rPr>
      <w:rFonts w:ascii="Arial" w:hAnsi="Arial" w:eastAsia="Arial" w:cs="Arial"/>
      <w:b/>
      <w:bCs/>
      <w:sz w:val="32"/>
      <w:szCs w:val="32"/>
    </w:rPr>
  </w:style>
  <w:style w:type="paragraph" w:styleId="Heading2">
    <w:name w:val="Heading 2"/>
    <w:basedOn w:val="Heading"/>
    <w:qFormat/>
    <w:pPr>
      <w:spacing w:before="280" w:after="160"/>
      <w:outlineLvl w:val="1"/>
    </w:pPr>
    <w:rPr>
      <w:rFonts w:ascii="Arial" w:hAnsi="Arial" w:eastAsia="Arial" w:cs="Arial"/>
      <w:b/>
      <w:bCs/>
      <w:sz w:val="28"/>
      <w:szCs w:val="28"/>
    </w:rPr>
  </w:style>
  <w:style w:type="paragraph" w:styleId="Heading3">
    <w:name w:val="Heading 3"/>
    <w:basedOn w:val="Heading"/>
    <w:qFormat/>
    <w:pPr/>
    <w:rPr>
      <w:color w:val="1F4D78"/>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Heading"/>
    <w:qFormat/>
    <w:pPr/>
    <w:rPr>
      <w:sz w:val="56"/>
      <w:szCs w:val="56"/>
    </w:rPr>
  </w:style>
  <w:style w:type="paragraph" w:styleId="StrongEmphasis">
    <w:name w:val="Strong Emphasis"/>
    <w:qFormat/>
    <w:pPr>
      <w:widowControl/>
      <w:bidi w:val="0"/>
      <w:spacing w:before="0" w:after="0"/>
      <w:jc w:val="left"/>
    </w:pPr>
    <w:rPr>
      <w:rFonts w:ascii="Arial" w:hAnsi="Arial" w:eastAsia="Arial" w:cs="Arial"/>
      <w:b/>
      <w:bCs/>
      <w:color w:val="auto"/>
      <w:kern w:val="0"/>
      <w:sz w:val="24"/>
      <w:szCs w:val="24"/>
      <w:lang w:val="en-US" w:eastAsia="zh-CN" w:bidi="hi-IN"/>
    </w:rPr>
  </w:style>
  <w:style w:type="paragraph" w:styleId="ListParagraph">
    <w:name w:val="List Paragraph"/>
    <w:qFormat/>
    <w:pPr>
      <w:widowControl/>
      <w:bidi w:val="0"/>
      <w:spacing w:before="0" w:after="0"/>
      <w:jc w:val="left"/>
    </w:pPr>
    <w:rPr>
      <w:rFonts w:ascii="Arial" w:hAnsi="Arial" w:eastAsia="Arial" w:cs="Arial"/>
      <w:color w:val="auto"/>
      <w:kern w:val="0"/>
      <w:sz w:val="24"/>
      <w:szCs w:val="24"/>
      <w:lang w:val="en-US"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LibreOffice/24.2.7.2$Linux_X86_64 LibreOffice_project/420$Build-2</Application>
  <AppVersion>15.0000</AppVersion>
  <Pages>3</Pages>
  <Words>816</Words>
  <Characters>5319</Characters>
  <CharactersWithSpaces>6097</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2026-01-19T02:42:35Z</dcterms:created>
  <dc:creator>Un-named</dc:creator>
  <dc:description/>
  <dc:language>en-US</dc:language>
  <cp:lastModifiedBy/>
  <dcterms:modified xsi:type="dcterms:W3CDTF">2026-01-19T12:48:06Z</dcterms:modified>
  <cp:revision>3</cp:revision>
  <dc:subject/>
  <dc:title/>
</cp:coreProperties>
</file>