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spacing w:before="280" w:after="160"/>
        <w:rPr/>
      </w:pPr>
      <w:r>
        <w:rPr/>
        <w:t>Opening (~30 seconds)</w:t>
      </w:r>
    </w:p>
    <w:p>
      <w:pPr>
        <w:pStyle w:val="Normal"/>
        <w:spacing w:before="0" w:after="200"/>
        <w:rPr/>
      </w:pPr>
      <w:r>
        <w:rPr/>
        <w:t>We've covered a lot of ground in this training, from the fundamentals of clinical trials and the role of a CTMS, through data collection, monitoring, analysis, and financial management. Now, let's distill what we've learned into practical guidance.</w:t>
      </w:r>
    </w:p>
    <w:p>
      <w:pPr>
        <w:pStyle w:val="Normal"/>
        <w:spacing w:before="0" w:after="200"/>
        <w:rPr/>
      </w:pPr>
      <w:r>
        <w:rPr/>
        <w:t>In this final section, we'll consolidate the best practices that lead to successful studies and highlight the common pitfalls that can derail even well-intentioned research. Think of this as your quick-reference guide for clinical trial management excellence.</w:t>
      </w:r>
    </w:p>
    <w:p>
      <w:pPr>
        <w:pStyle w:val="Heading2"/>
        <w:rPr/>
      </w:pPr>
      <w:r>
        <w:rPr/>
        <w:t>Data Collection Best Practices (~1.5 minutes)</w:t>
      </w:r>
    </w:p>
    <w:p>
      <w:pPr>
        <w:pStyle w:val="Normal"/>
        <w:spacing w:before="0" w:after="200"/>
        <w:rPr/>
      </w:pPr>
      <w:r>
        <w:rPr/>
        <w:t>High-quality data is the foundation of credible research. Several practices consistently lead to better outcomes.</w:t>
      </w:r>
    </w:p>
    <w:p>
      <w:pPr>
        <w:pStyle w:val="Normal"/>
        <w:spacing w:before="0" w:after="200"/>
        <w:rPr/>
      </w:pPr>
      <w:r>
        <w:rPr/>
        <w:t>Enter data in real time whenever possible. Data entered at the point of collection is more accurate than data transcribed later from notes or memory. If real-time entry isn't feasible, establish a maximum delay, ideally within 24 to 48 hours.</w:t>
      </w:r>
    </w:p>
    <w:p>
      <w:pPr>
        <w:pStyle w:val="Normal"/>
        <w:spacing w:before="0" w:after="200"/>
        <w:rPr/>
      </w:pPr>
      <w:r>
        <w:rPr/>
        <w:t>Use standardized instruments and procedures. Validated questionnaires, calibrated equipment, and documented protocols reduce variability and increase the reliability of your measurements.</w:t>
      </w:r>
    </w:p>
    <w:p>
      <w:pPr>
        <w:pStyle w:val="Normal"/>
        <w:spacing w:before="0" w:after="200"/>
        <w:rPr/>
      </w:pPr>
      <w:r>
        <w:rPr/>
        <w:t>Document everything. If it isn't documented, it didn't happen, at least from a regulatory perspective. Record not just what you observed, but when, by whom, and under what circumstances.</w:t>
      </w:r>
    </w:p>
    <w:p>
      <w:pPr>
        <w:pStyle w:val="Normal"/>
        <w:spacing w:before="0" w:after="200"/>
        <w:rPr/>
      </w:pPr>
      <w:r>
        <w:rPr/>
        <w:t>Resolve queries promptly. When data discrepancies are flagged, address them while the context is fresh. Queries that linger become harder to resolve accurately.</w:t>
      </w:r>
    </w:p>
    <w:p>
      <w:pPr>
        <w:pStyle w:val="Normal"/>
        <w:spacing w:before="0" w:after="200"/>
        <w:rPr/>
      </w:pPr>
      <w:r>
        <w:rPr/>
        <w:t>Build quality checks into your workflow. Don't wait for external audits to find problems. Regular internal reviews catch issues early when they're easier to fix.</w:t>
      </w:r>
    </w:p>
    <w:p>
      <w:pPr>
        <w:pStyle w:val="Heading2"/>
        <w:rPr/>
      </w:pPr>
      <w:r>
        <w:rPr/>
        <w:t>Common Data Pitfalls (~1 minute)</w:t>
      </w:r>
    </w:p>
    <w:p>
      <w:pPr>
        <w:pStyle w:val="Normal"/>
        <w:spacing w:before="0" w:after="200"/>
        <w:rPr/>
      </w:pPr>
      <w:r>
        <w:rPr/>
        <w:t>Certain mistakes appear repeatedly across studies. Knowing them helps you avoid them.</w:t>
      </w:r>
    </w:p>
    <w:p>
      <w:pPr>
        <w:pStyle w:val="Normal"/>
        <w:spacing w:before="0" w:after="200"/>
        <w:rPr/>
      </w:pPr>
      <w:r>
        <w:rPr/>
        <w:t>Inconsistent data entry conventions cause confusion and errors. Is blood pressure recorded as systolic slash diastolic, or diastolic slash systolic? Are dates in day-month-year or month-day-year format? Establish conventions and train everyone.</w:t>
      </w:r>
    </w:p>
    <w:p>
      <w:pPr>
        <w:pStyle w:val="Normal"/>
        <w:spacing w:before="0" w:after="200"/>
        <w:rPr/>
      </w:pPr>
      <w:r>
        <w:rPr/>
        <w:t>Missing source documentation makes data unverifiable. If an auditor asks how you know a participant's blood pressure was 120 over 80, you need to point to a source document.</w:t>
      </w:r>
    </w:p>
    <w:p>
      <w:pPr>
        <w:pStyle w:val="Normal"/>
        <w:spacing w:before="0" w:after="200"/>
        <w:rPr/>
      </w:pPr>
      <w:r>
        <w:rPr/>
        <w:t>Ignoring validation warnings leads to accumulated errors. Those system alerts exist for a reason. Dismissing them without investigation creates problems downstream.</w:t>
      </w:r>
    </w:p>
    <w:p>
      <w:pPr>
        <w:pStyle w:val="Normal"/>
        <w:spacing w:before="0" w:after="200"/>
        <w:rPr/>
      </w:pPr>
      <w:r>
        <w:rPr/>
        <w:t>Backdating or forward-dating entries destroys trust in your data. If you enter data late, record the actual entry date honestly. Audit trails will reveal the truth anyway.</w:t>
      </w:r>
    </w:p>
    <w:p>
      <w:pPr>
        <w:pStyle w:val="Heading2"/>
        <w:rPr/>
      </w:pPr>
      <w:r>
        <w:rPr/>
        <w:t>Participant Management Best Practices (~1 minute)</w:t>
      </w:r>
    </w:p>
    <w:p>
      <w:pPr>
        <w:pStyle w:val="Normal"/>
        <w:spacing w:before="0" w:after="200"/>
        <w:rPr/>
      </w:pPr>
      <w:r>
        <w:rPr/>
        <w:t>Participants are the heart of your study. Treating them well serves both ethical and practical goals.</w:t>
      </w:r>
    </w:p>
    <w:p>
      <w:pPr>
        <w:pStyle w:val="Normal"/>
        <w:spacing w:before="0" w:after="200"/>
        <w:rPr/>
      </w:pPr>
      <w:r>
        <w:rPr/>
        <w:t>Set clear expectations from the start. During consent, ensure participants understand what's involved, visit frequency, time commitment, procedures, compensation. Surprises lead to dropouts.</w:t>
      </w:r>
    </w:p>
    <w:p>
      <w:pPr>
        <w:pStyle w:val="Normal"/>
        <w:spacing w:before="0" w:after="200"/>
        <w:rPr/>
      </w:pPr>
      <w:r>
        <w:rPr/>
        <w:t>Maintain regular contact. Participants who feel forgotten are more likely to disengage. Regular check-ins, even brief ones, maintain connection and catch problems early.</w:t>
      </w:r>
    </w:p>
    <w:p>
      <w:pPr>
        <w:pStyle w:val="Normal"/>
        <w:spacing w:before="0" w:after="200"/>
        <w:rPr/>
      </w:pPr>
      <w:r>
        <w:rPr/>
        <w:t>Make participation convenient. Flexible scheduling, reminder calls, travel assistance, and comfortable visit experiences all improve retention.</w:t>
      </w:r>
    </w:p>
    <w:p>
      <w:pPr>
        <w:pStyle w:val="Normal"/>
        <w:spacing w:before="0" w:after="200"/>
        <w:rPr/>
      </w:pPr>
      <w:r>
        <w:rPr/>
        <w:t>Respect their time. Keep visits efficient. If assessments can be done remotely, offer that option. Participants have lives beyond your study.</w:t>
      </w:r>
    </w:p>
    <w:p>
      <w:pPr>
        <w:pStyle w:val="Heading2"/>
        <w:rPr/>
      </w:pPr>
      <w:r>
        <w:rPr/>
        <w:t>Common Participant Pitfalls (~1 minute)</w:t>
      </w:r>
    </w:p>
    <w:p>
      <w:pPr>
        <w:pStyle w:val="Normal"/>
        <w:spacing w:before="0" w:after="200"/>
        <w:rPr/>
      </w:pPr>
      <w:r>
        <w:rPr/>
        <w:t>Poor enrollment planning is perhaps the most common study failure. Overestimating the available population, underestimating the competition for participants, or setting unrealistic timelines leads to underpowered studies and extended timelines.</w:t>
      </w:r>
    </w:p>
    <w:p>
      <w:pPr>
        <w:pStyle w:val="Normal"/>
        <w:spacing w:before="0" w:after="200"/>
        <w:rPr/>
      </w:pPr>
      <w:r>
        <w:rPr/>
        <w:t>Inadequate screening wastes resources. Enrolling participants who don't meet criteria, or who are unlikely to complete, creates problems later. Thorough screening is an investment, not an obstacle.</w:t>
      </w:r>
    </w:p>
    <w:p>
      <w:pPr>
        <w:pStyle w:val="Normal"/>
        <w:spacing w:before="0" w:after="200"/>
        <w:rPr/>
      </w:pPr>
      <w:r>
        <w:rPr/>
        <w:t>Ignoring early warning signs of dropout risk misses opportunities for intervention. Changes in engagement, missed appointments, or expressed concerns are signals. Address them proactively.</w:t>
      </w:r>
    </w:p>
    <w:p>
      <w:pPr>
        <w:pStyle w:val="Normal"/>
        <w:spacing w:before="0" w:after="200"/>
        <w:rPr/>
      </w:pPr>
      <w:r>
        <w:rPr/>
        <w:t>Treating participants as data sources rather than partners undermines the relationship. They're volunteering their time and often accepting some risk. Gratitude and respect matter.</w:t>
      </w:r>
    </w:p>
    <w:p>
      <w:pPr>
        <w:pStyle w:val="Heading2"/>
        <w:rPr/>
      </w:pPr>
      <w:r>
        <w:rPr/>
        <w:t>System and Process Best Practices (~1 minute)</w:t>
      </w:r>
    </w:p>
    <w:p>
      <w:pPr>
        <w:pStyle w:val="Normal"/>
        <w:spacing w:before="0" w:after="200"/>
        <w:rPr/>
      </w:pPr>
      <w:r>
        <w:rPr/>
        <w:t>Your CTMS is a tool; how you use it determines its value.</w:t>
      </w:r>
    </w:p>
    <w:p>
      <w:pPr>
        <w:pStyle w:val="Normal"/>
        <w:spacing w:before="0" w:after="200"/>
        <w:rPr/>
      </w:pPr>
      <w:r>
        <w:rPr/>
        <w:t>Configure thoughtfully before going live. Visit schedules, data fields, validation rules, and user permissions should be set up carefully based on your protocol. Changes mid-study are disruptive.</w:t>
      </w:r>
    </w:p>
    <w:p>
      <w:pPr>
        <w:pStyle w:val="Normal"/>
        <w:spacing w:before="0" w:after="200"/>
        <w:rPr/>
      </w:pPr>
      <w:r>
        <w:rPr/>
        <w:t>Train thoroughly and refresh regularly. Initial training is essential, but skills fade. Periodic refreshers and updates when procedures change keep everyone sharp.</w:t>
      </w:r>
    </w:p>
    <w:p>
      <w:pPr>
        <w:pStyle w:val="Normal"/>
        <w:spacing w:before="0" w:after="200"/>
        <w:rPr/>
      </w:pPr>
      <w:r>
        <w:rPr/>
        <w:t>Use the dashboards. The monitoring capabilities we discussed only help if you actually look at them. Regular review of enrollment, retention, and data quality metrics should be routine.</w:t>
      </w:r>
    </w:p>
    <w:p>
      <w:pPr>
        <w:pStyle w:val="Normal"/>
        <w:spacing w:before="0" w:after="200"/>
        <w:rPr/>
      </w:pPr>
      <w:r>
        <w:rPr/>
        <w:t>Document your processes. Standard operating procedures ensure consistency when staff change and provide evidence of systematic quality management during audits.</w:t>
      </w:r>
    </w:p>
    <w:p>
      <w:pPr>
        <w:pStyle w:val="Heading2"/>
        <w:rPr/>
      </w:pPr>
      <w:r>
        <w:rPr/>
        <w:t>Common System Pitfalls (~1 minute)</w:t>
      </w:r>
    </w:p>
    <w:p>
      <w:pPr>
        <w:pStyle w:val="Normal"/>
        <w:spacing w:before="0" w:after="200"/>
        <w:rPr/>
      </w:pPr>
      <w:r>
        <w:rPr/>
        <w:t>Underutilizing your CTMS wastes its potential. If you're only using it for basic data entry and ignoring the monitoring, reporting, and quality features, you're missing much of the value.</w:t>
      </w:r>
    </w:p>
    <w:p>
      <w:pPr>
        <w:pStyle w:val="Normal"/>
        <w:spacing w:before="0" w:after="200"/>
        <w:rPr/>
      </w:pPr>
      <w:r>
        <w:rPr/>
        <w:t>Workarounds that bypass the system create hidden risks. If staff find the system cumbersome and develop shadow processes, paper tracking, personal spreadsheets, data integrity suffers and audit trails become incomplete.</w:t>
      </w:r>
    </w:p>
    <w:p>
      <w:pPr>
        <w:pStyle w:val="Normal"/>
        <w:spacing w:before="0" w:after="200"/>
        <w:rPr/>
      </w:pPr>
      <w:r>
        <w:rPr/>
        <w:t>Ignoring system alerts and notifications lets problems grow. Those automated warnings about overdue visits, approaching deadlines, or data anomalies are there to help. Treat them as actionable information.</w:t>
      </w:r>
    </w:p>
    <w:p>
      <w:pPr>
        <w:pStyle w:val="Normal"/>
        <w:spacing w:before="0" w:after="200"/>
        <w:rPr/>
      </w:pPr>
      <w:r>
        <w:rPr/>
        <w:t>Insufficient backup and security planning creates catastrophic risk. Data loss or breach can end a study. Ensure your systems are properly backed up and access is appropriately controlled.</w:t>
      </w:r>
    </w:p>
    <w:p>
      <w:pPr>
        <w:pStyle w:val="Heading2"/>
        <w:rPr/>
      </w:pPr>
      <w:r>
        <w:rPr/>
        <w:t>Closing and Course Summary (~1 minute)</w:t>
      </w:r>
    </w:p>
    <w:p>
      <w:pPr>
        <w:pStyle w:val="Normal"/>
        <w:spacing w:before="0" w:after="200"/>
        <w:rPr/>
      </w:pPr>
      <w:r>
        <w:rPr/>
        <w:t>As we conclude this training, let's step back and see the complete picture.</w:t>
      </w:r>
    </w:p>
    <w:p>
      <w:pPr>
        <w:pStyle w:val="Normal"/>
        <w:spacing w:before="0" w:after="200"/>
        <w:rPr/>
      </w:pPr>
      <w:r>
        <w:rPr/>
        <w:t>You've learned that clinical trials follow structured phases from early safety studies through large efficacy trials. You understand how a CTMS serves as the operational backbone, managing participants, tracking visits, ensuring data quality, and supporting regulatory compliance.</w:t>
      </w:r>
    </w:p>
    <w:p>
      <w:pPr>
        <w:pStyle w:val="Normal"/>
        <w:spacing w:before="0" w:after="200"/>
        <w:rPr/>
      </w:pPr>
      <w:r>
        <w:rPr/>
        <w:t>You've explored the full data lifecycle: from collection, whether traditional clinical measures, patient-reported outcomes, or digital biomarkers, through quality control, monitoring, and analysis. You understand how to track study progress and recognize when intervention is needed.</w:t>
      </w:r>
    </w:p>
    <w:p>
      <w:pPr>
        <w:pStyle w:val="Normal"/>
        <w:spacing w:before="0" w:after="200"/>
        <w:rPr/>
      </w:pPr>
      <w:r>
        <w:rPr/>
        <w:t>You've gained awareness of the financial dimensions of research and the importance of audit readiness. And now you have practical guidance on best practices and pitfalls to avoid.</w:t>
      </w:r>
    </w:p>
    <w:p>
      <w:pPr>
        <w:pStyle w:val="Normal"/>
        <w:spacing w:before="0" w:after="200"/>
        <w:rPr/>
      </w:pPr>
      <w:r>
        <w:rPr/>
        <w:t>Clinical research is challenging but deeply rewarding work. Every well-managed study contributes to our collective understanding of health and disease. Every participant who completes a study helps generate evidence that may benefit countless others.</w:t>
      </w:r>
    </w:p>
    <w:p>
      <w:pPr>
        <w:pStyle w:val="Normal"/>
        <w:spacing w:before="0" w:after="200"/>
        <w:rPr/>
      </w:pPr>
      <w:r>
        <w:rPr/>
        <w:t>The skills you've developed in this training, attention to detail, systematic thinking, respect for process, and commitment to quality, will serve you well throughout your research career.</w:t>
      </w:r>
    </w:p>
    <w:p>
      <w:pPr>
        <w:pStyle w:val="Normal"/>
        <w:spacing w:before="0" w:after="200"/>
        <w:rPr/>
      </w:pPr>
      <w:r>
        <w:rPr/>
        <w:t>Thank you for your commitment to learning these fundamentals. We wish you every success in your clinical research journey.</w:t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81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Heading"/>
    <w:qFormat/>
    <w:pPr>
      <w:spacing w:before="360" w:after="200"/>
      <w:outlineLvl w:val="0"/>
    </w:pPr>
    <w:rPr>
      <w:rFonts w:ascii="Arial" w:hAnsi="Arial" w:eastAsia="Arial" w:cs="Arial"/>
      <w:b/>
      <w:bCs/>
      <w:sz w:val="32"/>
      <w:szCs w:val="32"/>
    </w:rPr>
  </w:style>
  <w:style w:type="paragraph" w:styleId="Heading2">
    <w:name w:val="Heading 2"/>
    <w:basedOn w:val="Heading"/>
    <w:qFormat/>
    <w:pPr>
      <w:spacing w:before="280" w:after="160"/>
      <w:outlineLvl w:val="1"/>
    </w:pPr>
    <w:rPr>
      <w:rFonts w:ascii="Arial" w:hAnsi="Arial" w:eastAsia="Arial" w:cs="Arial"/>
      <w:b/>
      <w:bCs/>
      <w:sz w:val="28"/>
      <w:szCs w:val="28"/>
    </w:rPr>
  </w:style>
  <w:style w:type="paragraph" w:styleId="Heading3">
    <w:name w:val="Heading 3"/>
    <w:basedOn w:val="Heading"/>
    <w:qFormat/>
    <w:pPr/>
    <w:rPr>
      <w:color w:val="1F4D78"/>
      <w:sz w:val="24"/>
      <w:szCs w:val="24"/>
    </w:rPr>
  </w:style>
  <w:style w:type="paragraph" w:styleId="Heading4">
    <w:name w:val="Heading 4"/>
    <w:basedOn w:val="Heading"/>
    <w:qFormat/>
    <w:pPr/>
    <w:rPr>
      <w:i/>
      <w:iCs/>
      <w:color w:val="2E74B5"/>
    </w:rPr>
  </w:style>
  <w:style w:type="paragraph" w:styleId="Heading5">
    <w:name w:val="Heading 5"/>
    <w:basedOn w:val="Heading"/>
    <w:qFormat/>
    <w:pPr/>
    <w:rPr>
      <w:color w:val="2E74B5"/>
    </w:rPr>
  </w:style>
  <w:style w:type="paragraph" w:styleId="Heading6">
    <w:name w:val="Heading 6"/>
    <w:basedOn w:val="Heading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Characters">
    <w:name w:val="Footnote Characters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link w:val="FootnoteText"/>
    <w:uiPriority w:val="99"/>
    <w:semiHidden/>
    <w:unhideWhenUsed/>
    <w:qFormat/>
    <w:rPr>
      <w:sz w:val="20"/>
      <w:szCs w:val="20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Heading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left"/>
    </w:pPr>
    <w:rPr>
      <w:rFonts w:ascii="Arial" w:hAnsi="Arial" w:eastAsia="Arial" w:cs="Arial"/>
      <w:b/>
      <w:bCs/>
      <w:color w:val="auto"/>
      <w:kern w:val="0"/>
      <w:sz w:val="24"/>
      <w:szCs w:val="24"/>
      <w:lang w:val="en-US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4"/>
      <w:szCs w:val="24"/>
      <w:lang w:val="en-US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LibreOffice/24.2.7.2$Linux_X86_64 LibreOffice_project/420$Build-2</Application>
  <AppVersion>15.0000</AppVersion>
  <Pages>4</Pages>
  <Words>1014</Words>
  <Characters>6217</Characters>
  <CharactersWithSpaces>7185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2026-01-19T03:56:06Z</dcterms:created>
  <dc:creator>Un-named</dc:creator>
  <dc:description/>
  <dc:language>en-US</dc:language>
  <cp:lastModifiedBy/>
  <dcterms:modified xsi:type="dcterms:W3CDTF">2026-01-19T14:00:54Z</dcterms:modified>
  <cp:revision>2</cp:revision>
  <dc:subject/>
  <dc:title/>
</cp:coreProperties>
</file>