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Heading3"/>
        <w:numPr>
          <w:ilvl w:val="0"/>
          <w:numId w:val="0"/>
        </w:numPr>
        <w:bidi w:val="0"/>
        <w:spacing w:before="140" w:after="120"/>
        <w:jc w:val="start"/>
        <w:rPr/>
      </w:pPr>
      <w:r>
        <w:rPr/>
        <w:t>Opening (~30 seconds)</w:t>
      </w:r>
    </w:p>
    <w:p>
      <w:pPr>
        <w:pStyle w:val="BodyText"/>
        <w:bidi w:val="0"/>
        <w:spacing w:lineRule="auto" w:line="276" w:before="0" w:after="140"/>
        <w:jc w:val="start"/>
        <w:rPr/>
      </w:pPr>
      <w:r>
        <w:rPr/>
        <w:t>Now that you understand the vocabulary and the people involved in clinical research, let's trace the complete journey of a clinical trial from start to finish.</w:t>
      </w:r>
    </w:p>
    <w:p>
      <w:pPr>
        <w:pStyle w:val="BodyText"/>
        <w:bidi w:val="0"/>
        <w:spacing w:lineRule="auto" w:line="276" w:before="0" w:after="140"/>
        <w:jc w:val="start"/>
        <w:rPr/>
      </w:pPr>
      <w:r>
        <w:rPr/>
        <w:t>Every study, regardless of size or complexity, moves through a series of predictable stages. Understanding this lifecycle helps you see where different activities fit, why certain steps must happen in sequence, and how the work you do at each stage connects to everything that follows.</w:t>
      </w:r>
    </w:p>
    <w:p>
      <w:pPr>
        <w:pStyle w:val="BodyText"/>
        <w:bidi w:val="0"/>
        <w:spacing w:lineRule="auto" w:line="276" w:before="0" w:after="140"/>
        <w:jc w:val="start"/>
        <w:rPr/>
      </w:pPr>
      <w:r>
        <w:rPr/>
        <w:t>Think of this as a map of the territory we'll explore in more detail throughout the rest of this training.</w:t>
      </w:r>
    </w:p>
    <w:p>
      <w:pPr>
        <w:pStyle w:val="HorizontalLine"/>
        <w:suppressLineNumbers/>
        <w:pBdr>
          <w:bottom w:val="double" w:sz="2" w:space="0" w:color="808080"/>
        </w:pBdr>
        <w:bidi w:val="0"/>
        <w:spacing w:before="0" w:after="283"/>
        <w:jc w:val="start"/>
        <w:rPr/>
      </w:pPr>
      <w:r>
        <w:rPr/>
      </w:r>
    </w:p>
    <w:p>
      <w:pPr>
        <w:pStyle w:val="Heading3"/>
        <w:numPr>
          <w:ilvl w:val="0"/>
          <w:numId w:val="0"/>
        </w:numPr>
        <w:bidi w:val="0"/>
        <w:spacing w:before="140" w:after="120"/>
        <w:jc w:val="start"/>
        <w:rPr/>
      </w:pPr>
      <w:r>
        <w:rPr/>
        <w:t>The Seven Stages of a Clinical Trial (~5.5 minutes)</w:t>
      </w:r>
    </w:p>
    <w:p>
      <w:pPr>
        <w:pStyle w:val="BodyText"/>
        <w:bidi w:val="0"/>
        <w:spacing w:lineRule="auto" w:line="276" w:before="0" w:after="140"/>
        <w:jc w:val="start"/>
        <w:rPr/>
      </w:pPr>
      <w:r>
        <w:rPr>
          <w:rStyle w:val="Strong"/>
        </w:rPr>
        <w:t>Stage 1: Conception and Planning</w:t>
      </w:r>
    </w:p>
    <w:p>
      <w:pPr>
        <w:pStyle w:val="BodyText"/>
        <w:bidi w:val="0"/>
        <w:spacing w:lineRule="auto" w:line="276" w:before="0" w:after="140"/>
        <w:jc w:val="start"/>
        <w:rPr/>
      </w:pPr>
      <w:r>
        <w:rPr/>
        <w:t>Every trial begins with a question. Perhaps a researcher observes a pattern in clinical practice and wonders whether a different approach might work better. Perhaps new laboratory findings suggest a potential treatment worth testing in humans. Perhaps existing data reveals a gap in our understanding that only a prospective study can fill.</w:t>
      </w:r>
    </w:p>
    <w:p>
      <w:pPr>
        <w:pStyle w:val="BodyText"/>
        <w:bidi w:val="0"/>
        <w:spacing w:lineRule="auto" w:line="276" w:before="0" w:after="140"/>
        <w:jc w:val="start"/>
        <w:rPr/>
      </w:pPr>
      <w:r>
        <w:rPr/>
        <w:t>During the conception phase, researchers refine their question into something testable. They review existing literature to understand what's already known. They consider what study design would best answer their question. They think about who should be included, what outcomes should be measured, and how long the study might take.</w:t>
      </w:r>
    </w:p>
    <w:p>
      <w:pPr>
        <w:pStyle w:val="BodyText"/>
        <w:bidi w:val="0"/>
        <w:spacing w:lineRule="auto" w:line="276" w:before="0" w:after="140"/>
        <w:jc w:val="start"/>
        <w:rPr/>
      </w:pPr>
      <w:r>
        <w:rPr/>
        <w:t>This is also when practical considerations enter the picture. What resources will be needed? What expertise? What funding? Is this study feasible at this institution, or will it require collaboration with other sites?</w:t>
      </w:r>
    </w:p>
    <w:p>
      <w:pPr>
        <w:pStyle w:val="BodyText"/>
        <w:bidi w:val="0"/>
        <w:spacing w:lineRule="auto" w:line="276" w:before="0" w:after="140"/>
        <w:jc w:val="start"/>
        <w:rPr/>
      </w:pPr>
      <w:r>
        <w:rPr/>
        <w:t>The output of this stage is typically a draft protocol, a preliminary budget, and a clear sense of whether the study is worth pursuing.</w:t>
      </w:r>
    </w:p>
    <w:p>
      <w:pPr>
        <w:pStyle w:val="BodyText"/>
        <w:bidi w:val="0"/>
        <w:spacing w:lineRule="auto" w:line="276" w:before="0" w:after="140"/>
        <w:jc w:val="start"/>
        <w:rPr/>
      </w:pPr>
      <w:r>
        <w:rPr>
          <w:rStyle w:val="Strong"/>
        </w:rPr>
        <w:t>Stage 2: Regulatory and Ethics Approval</w:t>
      </w:r>
    </w:p>
    <w:p>
      <w:pPr>
        <w:pStyle w:val="BodyText"/>
        <w:bidi w:val="0"/>
        <w:spacing w:lineRule="auto" w:line="276" w:before="0" w:after="140"/>
        <w:jc w:val="start"/>
        <w:rPr/>
      </w:pPr>
      <w:r>
        <w:rPr/>
        <w:t>Before any participant can be approached, the study must receive formal approval. As we discussed in the previous section, ethics committees evaluate whether the research question justifies the risks, whether the design is sound, and whether participant protections are adequate.</w:t>
      </w:r>
    </w:p>
    <w:p>
      <w:pPr>
        <w:pStyle w:val="BodyText"/>
        <w:bidi w:val="0"/>
        <w:spacing w:lineRule="auto" w:line="276" w:before="0" w:after="140"/>
        <w:jc w:val="start"/>
        <w:rPr/>
      </w:pPr>
      <w:r>
        <w:rPr/>
        <w:t>This stage involves preparing and submitting comprehensive documentation: the full protocol, informed consent forms, investigator credentials, recruitment materials, and data collection instruments. For studies involving drugs or devices, additional regulatory submissions may be required.</w:t>
      </w:r>
    </w:p>
    <w:p>
      <w:pPr>
        <w:pStyle w:val="BodyText"/>
        <w:bidi w:val="0"/>
        <w:spacing w:lineRule="auto" w:line="276" w:before="0" w:after="140"/>
        <w:jc w:val="start"/>
        <w:rPr/>
      </w:pPr>
      <w:r>
        <w:rPr/>
        <w:t>The approval process takes time, often weeks to months. Committees may request modifications, and researchers must address these concerns before approval is granted. No recruitment, no data collection, nothing involving participants can happen until ethics approval is in hand.</w:t>
      </w:r>
    </w:p>
    <w:p>
      <w:pPr>
        <w:pStyle w:val="BodyText"/>
        <w:bidi w:val="0"/>
        <w:spacing w:lineRule="auto" w:line="276" w:before="0" w:after="140"/>
        <w:jc w:val="start"/>
        <w:rPr/>
      </w:pPr>
      <w:r>
        <w:rPr>
          <w:rStyle w:val="Strong"/>
        </w:rPr>
        <w:t>Stage 3: Study Setup and Configuration</w:t>
      </w:r>
    </w:p>
    <w:p>
      <w:pPr>
        <w:pStyle w:val="BodyText"/>
        <w:bidi w:val="0"/>
        <w:spacing w:lineRule="auto" w:line="276" w:before="0" w:after="140"/>
        <w:jc w:val="start"/>
        <w:rPr/>
      </w:pPr>
      <w:r>
        <w:rPr/>
        <w:t>With approvals secured, the operational work begins. This is where clinical trial management systems become essential.</w:t>
      </w:r>
    </w:p>
    <w:p>
      <w:pPr>
        <w:pStyle w:val="BodyText"/>
        <w:bidi w:val="0"/>
        <w:spacing w:lineRule="auto" w:line="276" w:before="0" w:after="140"/>
        <w:jc w:val="start"/>
        <w:rPr/>
      </w:pPr>
      <w:r>
        <w:rPr/>
        <w:t>During setup, teams configure the systems that will support the study. They define the study structure: the arms or cohorts, the visit schedule, the data to be collected at each timepoint. They set up data collection forms. They establish user accounts and assign roles. They prepare recruitment materials and train staff on study procedures.</w:t>
      </w:r>
    </w:p>
    <w:p>
      <w:pPr>
        <w:pStyle w:val="BodyText"/>
        <w:bidi w:val="0"/>
        <w:spacing w:lineRule="auto" w:line="276" w:before="0" w:after="140"/>
        <w:jc w:val="start"/>
        <w:rPr/>
      </w:pPr>
      <w:r>
        <w:rPr/>
        <w:t>For multi-site studies, this stage includes ensuring all sites have consistent processes, equivalent training, and compatible systems. Site initiation visits confirm that each location is ready to begin.</w:t>
      </w:r>
    </w:p>
    <w:p>
      <w:pPr>
        <w:pStyle w:val="BodyText"/>
        <w:bidi w:val="0"/>
        <w:spacing w:lineRule="auto" w:line="276" w:before="0" w:after="140"/>
        <w:jc w:val="start"/>
        <w:rPr/>
      </w:pPr>
      <w:r>
        <w:rPr/>
        <w:t>The goal is to have everything in place before the first participant arrives, so the team can focus on execution rather than scrambling to build infrastructure while the study is running.</w:t>
      </w:r>
    </w:p>
    <w:p>
      <w:pPr>
        <w:pStyle w:val="BodyText"/>
        <w:bidi w:val="0"/>
        <w:spacing w:lineRule="auto" w:line="276" w:before="0" w:after="140"/>
        <w:jc w:val="start"/>
        <w:rPr/>
      </w:pPr>
      <w:r>
        <w:rPr>
          <w:rStyle w:val="Strong"/>
        </w:rPr>
        <w:t>Stage 4: Recruitment and Enrollment</w:t>
      </w:r>
    </w:p>
    <w:p>
      <w:pPr>
        <w:pStyle w:val="BodyText"/>
        <w:bidi w:val="0"/>
        <w:spacing w:lineRule="auto" w:line="276" w:before="0" w:after="140"/>
        <w:jc w:val="start"/>
        <w:rPr/>
      </w:pPr>
      <w:r>
        <w:rPr/>
        <w:t>Now the study comes to life. Recruitment involves identifying and approaching potential participants. This might happen through clinic referrals, advertising, database searches, or community outreach, depending on the population being studied.</w:t>
      </w:r>
    </w:p>
    <w:p>
      <w:pPr>
        <w:pStyle w:val="BodyText"/>
        <w:bidi w:val="0"/>
        <w:spacing w:lineRule="auto" w:line="276" w:before="0" w:after="140"/>
        <w:jc w:val="start"/>
        <w:rPr/>
      </w:pPr>
      <w:r>
        <w:rPr/>
        <w:t>Each potential participant goes through screening to determine eligibility. Do they meet the inclusion criteria? Are any exclusion criteria present? This assessment must be documented, whether or not the person ultimately enrolls.</w:t>
      </w:r>
    </w:p>
    <w:p>
      <w:pPr>
        <w:pStyle w:val="BodyText"/>
        <w:bidi w:val="0"/>
        <w:spacing w:lineRule="auto" w:line="276" w:before="0" w:after="140"/>
        <w:jc w:val="start"/>
        <w:rPr/>
      </w:pPr>
      <w:r>
        <w:rPr/>
        <w:t>For those who are eligible and interested, the informed consent process ensures they understand what participation involves. Only after consent is properly obtained and documented can someone be formally enrolled and assigned to a study arm or cohort.</w:t>
      </w:r>
    </w:p>
    <w:p>
      <w:pPr>
        <w:pStyle w:val="BodyText"/>
        <w:bidi w:val="0"/>
        <w:spacing w:lineRule="auto" w:line="276" w:before="0" w:after="140"/>
        <w:jc w:val="start"/>
        <w:rPr/>
      </w:pPr>
      <w:r>
        <w:rPr/>
        <w:t>Recruitment is often the most challenging and time-consuming phase of a clinical trial. Studies frequently take longer than planned because enrollment targets prove harder to meet than anticipated. Monitoring recruitment progress and adjusting strategies when needed is a critical management function.</w:t>
      </w:r>
    </w:p>
    <w:p>
      <w:pPr>
        <w:pStyle w:val="BodyText"/>
        <w:bidi w:val="0"/>
        <w:spacing w:lineRule="auto" w:line="276" w:before="0" w:after="140"/>
        <w:jc w:val="start"/>
        <w:rPr/>
      </w:pPr>
      <w:r>
        <w:rPr>
          <w:rStyle w:val="Strong"/>
        </w:rPr>
        <w:t>Stage 5: Data Collection and Follow-up</w:t>
      </w:r>
    </w:p>
    <w:p>
      <w:pPr>
        <w:pStyle w:val="BodyText"/>
        <w:bidi w:val="0"/>
        <w:spacing w:lineRule="auto" w:line="276" w:before="0" w:after="140"/>
        <w:jc w:val="start"/>
        <w:rPr/>
      </w:pPr>
      <w:r>
        <w:rPr/>
        <w:t>With participants enrolled, the core scientific work proceeds. Each participant follows the visit schedule defined in the protocol, with data collected at each timepoint.</w:t>
      </w:r>
    </w:p>
    <w:p>
      <w:pPr>
        <w:pStyle w:val="BodyText"/>
        <w:bidi w:val="0"/>
        <w:spacing w:lineRule="auto" w:line="276" w:before="0" w:after="140"/>
        <w:jc w:val="start"/>
        <w:rPr/>
      </w:pPr>
      <w:r>
        <w:rPr/>
        <w:t>This might include clinical assessments, laboratory tests, questionnaires, imaging studies, or data from wearable devices. Each data point must be recorded accurately, completely, and in accordance with the protocol. Source documentation must support every entry.</w:t>
      </w:r>
    </w:p>
    <w:p>
      <w:pPr>
        <w:pStyle w:val="BodyText"/>
        <w:bidi w:val="0"/>
        <w:spacing w:lineRule="auto" w:line="276" w:before="0" w:after="140"/>
        <w:jc w:val="start"/>
        <w:rPr/>
      </w:pPr>
      <w:r>
        <w:rPr/>
        <w:t>Throughout this phase, the team monitors participant safety, watching for adverse events that might require intervention or reporting. They track protocol compliance, noting any deviations from planned procedures. They maintain communication with participants to support retention and minimize dropouts.</w:t>
      </w:r>
    </w:p>
    <w:p>
      <w:pPr>
        <w:pStyle w:val="BodyText"/>
        <w:bidi w:val="0"/>
        <w:spacing w:lineRule="auto" w:line="276" w:before="0" w:after="140"/>
        <w:jc w:val="start"/>
        <w:rPr/>
      </w:pPr>
      <w:r>
        <w:rPr/>
        <w:t>Data collection might continue for weeks, months, or even years depending on the study design. Throughout this period, ongoing data quality checks help identify and resolve issues before they become systematic problems.</w:t>
      </w:r>
    </w:p>
    <w:p>
      <w:pPr>
        <w:pStyle w:val="BodyText"/>
        <w:bidi w:val="0"/>
        <w:spacing w:lineRule="auto" w:line="276" w:before="0" w:after="140"/>
        <w:jc w:val="start"/>
        <w:rPr/>
      </w:pPr>
      <w:r>
        <w:rPr>
          <w:rStyle w:val="Strong"/>
        </w:rPr>
        <w:t>Stage 6: Analysis and Interpretation</w:t>
      </w:r>
    </w:p>
    <w:p>
      <w:pPr>
        <w:pStyle w:val="BodyText"/>
        <w:bidi w:val="0"/>
        <w:spacing w:lineRule="auto" w:line="276" w:before="0" w:after="140"/>
        <w:jc w:val="start"/>
        <w:rPr/>
      </w:pPr>
      <w:r>
        <w:rPr/>
        <w:t>Once data collection is complete, or at planned interim points, the analysis phase begins. The statistical analysis plan, ideally finalized before data collection started, guides how the data will be processed and interpreted.</w:t>
      </w:r>
    </w:p>
    <w:p>
      <w:pPr>
        <w:pStyle w:val="BodyText"/>
        <w:bidi w:val="0"/>
        <w:spacing w:lineRule="auto" w:line="276" w:before="0" w:after="140"/>
        <w:jc w:val="start"/>
        <w:rPr/>
      </w:pPr>
      <w:r>
        <w:rPr/>
        <w:t>Analysis might include descriptive statistics characterizing the study population, comparisons between groups on primary and secondary endpoints, safety analyses summarizing adverse events, and exploratory analyses generating hypotheses for future research.</w:t>
      </w:r>
    </w:p>
    <w:p>
      <w:pPr>
        <w:pStyle w:val="BodyText"/>
        <w:bidi w:val="0"/>
        <w:spacing w:lineRule="auto" w:line="276" w:before="0" w:after="140"/>
        <w:jc w:val="start"/>
        <w:rPr/>
      </w:pPr>
      <w:r>
        <w:rPr/>
        <w:t>The results must be interpreted carefully, acknowledging limitations, considering alternative explanations, and placing findings in the context of existing knowledge. This interpretation typically becomes the basis for publications, presentations, and decisions about next steps.</w:t>
      </w:r>
    </w:p>
    <w:p>
      <w:pPr>
        <w:pStyle w:val="BodyText"/>
        <w:bidi w:val="0"/>
        <w:spacing w:lineRule="auto" w:line="276" w:before="0" w:after="140"/>
        <w:jc w:val="start"/>
        <w:rPr/>
      </w:pPr>
      <w:r>
        <w:rPr>
          <w:rStyle w:val="Strong"/>
        </w:rPr>
        <w:t>Stage 7: Closeout and Archival</w:t>
      </w:r>
    </w:p>
    <w:p>
      <w:pPr>
        <w:pStyle w:val="BodyText"/>
        <w:bidi w:val="0"/>
        <w:spacing w:lineRule="auto" w:line="276" w:before="0" w:after="140"/>
        <w:jc w:val="start"/>
        <w:rPr/>
      </w:pPr>
      <w:r>
        <w:rPr/>
        <w:t>The final stage involves wrapping up all study activities. Participants complete their final visits. Outstanding data queries are resolved. Databases are locked to prevent further changes.</w:t>
      </w:r>
    </w:p>
    <w:p>
      <w:pPr>
        <w:pStyle w:val="BodyText"/>
        <w:bidi w:val="0"/>
        <w:spacing w:lineRule="auto" w:line="276" w:before="0" w:after="140"/>
        <w:jc w:val="start"/>
        <w:rPr/>
      </w:pPr>
      <w:r>
        <w:rPr/>
        <w:t>Closeout includes regulatory notifications, final reports to ethics committees, and archival of all study documents. Regulatory requirements typically mandate that records be retained for years after study completion, ensuring they remain available for audits or future reference.</w:t>
      </w:r>
    </w:p>
    <w:p>
      <w:pPr>
        <w:pStyle w:val="BodyText"/>
        <w:bidi w:val="0"/>
        <w:spacing w:lineRule="auto" w:line="276" w:before="0" w:after="140"/>
        <w:jc w:val="start"/>
        <w:rPr/>
      </w:pPr>
      <w:r>
        <w:rPr/>
        <w:t>For the research team, closeout is also a time for reflection. What went well? What challenges arose? What would be done differently next time? These lessons inform future studies and contribute to the team's growing expertise.</w:t>
      </w:r>
    </w:p>
    <w:p>
      <w:pPr>
        <w:pStyle w:val="HorizontalLine"/>
        <w:suppressLineNumbers/>
        <w:pBdr>
          <w:bottom w:val="double" w:sz="2" w:space="0" w:color="808080"/>
        </w:pBdr>
        <w:bidi w:val="0"/>
        <w:spacing w:before="0" w:after="283"/>
        <w:jc w:val="start"/>
        <w:rPr/>
      </w:pPr>
      <w:r>
        <w:rPr/>
      </w:r>
    </w:p>
    <w:p>
      <w:pPr>
        <w:pStyle w:val="Heading3"/>
        <w:numPr>
          <w:ilvl w:val="0"/>
          <w:numId w:val="0"/>
        </w:numPr>
        <w:bidi w:val="0"/>
        <w:spacing w:before="140" w:after="120"/>
        <w:jc w:val="start"/>
        <w:rPr/>
      </w:pPr>
      <w:r>
        <w:rPr/>
        <w:t>When Things Change: Amendments and Deviations (~1.5 minutes)</w:t>
      </w:r>
    </w:p>
    <w:p>
      <w:pPr>
        <w:pStyle w:val="BodyText"/>
        <w:bidi w:val="0"/>
        <w:spacing w:lineRule="auto" w:line="276" w:before="0" w:after="140"/>
        <w:jc w:val="start"/>
        <w:rPr/>
      </w:pPr>
      <w:r>
        <w:rPr/>
        <w:t>The lifecycle I've described sounds linear, but real studies rarely proceed without detours. Two types of changes require particular attention.</w:t>
      </w:r>
    </w:p>
    <w:p>
      <w:pPr>
        <w:pStyle w:val="BodyText"/>
        <w:bidi w:val="0"/>
        <w:spacing w:lineRule="auto" w:line="276" w:before="0" w:after="140"/>
        <w:jc w:val="start"/>
        <w:rPr/>
      </w:pPr>
      <w:r>
        <w:rPr>
          <w:rStyle w:val="Strong"/>
        </w:rPr>
        <w:t>Protocol Amendments</w:t>
      </w:r>
    </w:p>
    <w:p>
      <w:pPr>
        <w:pStyle w:val="BodyText"/>
        <w:bidi w:val="0"/>
        <w:spacing w:lineRule="auto" w:line="276" w:before="0" w:after="140"/>
        <w:jc w:val="start"/>
        <w:rPr/>
      </w:pPr>
      <w:r>
        <w:rPr/>
        <w:t>Sometimes the protocol itself needs to change. Perhaps enrollment is slower than expected, requiring expanded eligibility criteria. Perhaps new safety information emerges, requiring additional monitoring. Perhaps logistical realities necessitate adjustments to the visit schedule.</w:t>
      </w:r>
    </w:p>
    <w:p>
      <w:pPr>
        <w:pStyle w:val="BodyText"/>
        <w:bidi w:val="0"/>
        <w:spacing w:lineRule="auto" w:line="276" w:before="0" w:after="140"/>
        <w:jc w:val="start"/>
        <w:rPr/>
      </w:pPr>
      <w:r>
        <w:rPr/>
        <w:t>Any change to the approved protocol requires a formal amendment. This means preparing revised documents, submitting them to the ethics committee, and receiving approval before implementing changes. Amendments must be documented, and all affected staff must be informed and retrained as necessary.</w:t>
      </w:r>
    </w:p>
    <w:p>
      <w:pPr>
        <w:pStyle w:val="BodyText"/>
        <w:bidi w:val="0"/>
        <w:spacing w:lineRule="auto" w:line="276" w:before="0" w:after="140"/>
        <w:jc w:val="start"/>
        <w:rPr/>
      </w:pPr>
      <w:r>
        <w:rPr>
          <w:rStyle w:val="Strong"/>
        </w:rPr>
        <w:t>Protocol Deviations</w:t>
      </w:r>
    </w:p>
    <w:p>
      <w:pPr>
        <w:pStyle w:val="BodyText"/>
        <w:bidi w:val="0"/>
        <w:spacing w:lineRule="auto" w:line="276" w:before="0" w:after="140"/>
        <w:jc w:val="start"/>
        <w:rPr/>
      </w:pPr>
      <w:r>
        <w:rPr/>
        <w:t>Sometimes procedures deviate from the protocol without prior approval. A visit happens outside the allowed window. A required assessment is missed. An ineligible participant is inadvertently enrolled.</w:t>
      </w:r>
    </w:p>
    <w:p>
      <w:pPr>
        <w:pStyle w:val="BodyText"/>
        <w:bidi w:val="0"/>
        <w:spacing w:lineRule="auto" w:line="276" w:before="0" w:after="140"/>
        <w:jc w:val="start"/>
        <w:rPr/>
      </w:pPr>
      <w:r>
        <w:rPr/>
        <w:t>Deviations happen in virtually every study. What matters is how they're handled. Each deviation must be documented, its impact assessed, and corrective actions taken when appropriate. Serious or repeated deviations may require reporting to ethics committees and can raise questions about data integrity.</w:t>
      </w:r>
    </w:p>
    <w:p>
      <w:pPr>
        <w:pStyle w:val="BodyText"/>
        <w:bidi w:val="0"/>
        <w:spacing w:lineRule="auto" w:line="276" w:before="0" w:after="140"/>
        <w:jc w:val="start"/>
        <w:rPr/>
      </w:pPr>
      <w:r>
        <w:rPr/>
        <w:t>The distinction is important: amendments are planned changes that go through proper approval channels; deviations are unplanned departures that must be documented and managed after the fact.</w:t>
      </w:r>
    </w:p>
    <w:p>
      <w:pPr>
        <w:pStyle w:val="HorizontalLine"/>
        <w:suppressLineNumbers/>
        <w:pBdr>
          <w:bottom w:val="double" w:sz="2" w:space="0" w:color="808080"/>
        </w:pBdr>
        <w:bidi w:val="0"/>
        <w:spacing w:before="0" w:after="283"/>
        <w:jc w:val="start"/>
        <w:rPr/>
      </w:pPr>
      <w:r>
        <w:rPr/>
      </w:r>
    </w:p>
    <w:p>
      <w:pPr>
        <w:pStyle w:val="Heading3"/>
        <w:numPr>
          <w:ilvl w:val="0"/>
          <w:numId w:val="0"/>
        </w:numPr>
        <w:bidi w:val="0"/>
        <w:spacing w:before="140" w:after="120"/>
        <w:jc w:val="start"/>
        <w:rPr/>
      </w:pPr>
      <w:r>
        <w:rPr/>
        <w:t>Closing (~30 seconds)</w:t>
      </w:r>
    </w:p>
    <w:p>
      <w:pPr>
        <w:pStyle w:val="BodyText"/>
        <w:bidi w:val="0"/>
        <w:spacing w:lineRule="auto" w:line="276" w:before="0" w:after="140"/>
        <w:jc w:val="start"/>
        <w:rPr/>
      </w:pPr>
      <w:r>
        <w:rPr/>
        <w:t>You now have a mental map of the clinical trial lifecycle. From initial conception through final archival, each stage builds on what came before and sets up what follows.</w:t>
      </w:r>
    </w:p>
    <w:p>
      <w:pPr>
        <w:pStyle w:val="BodyText"/>
        <w:bidi w:val="0"/>
        <w:spacing w:lineRule="auto" w:line="276" w:before="0" w:after="140"/>
        <w:jc w:val="start"/>
        <w:rPr/>
      </w:pPr>
      <w:r>
        <w:rPr/>
        <w:t>In the sections ahead, we'll zoom into each of these stages, exploring the specific activities involved and how clinical trial management systems support the work at each phase. You'll see how the abstract lifecycle becomes concrete through actual workflows and system features.</w:t>
      </w:r>
    </w:p>
    <w:p>
      <w:pPr>
        <w:pStyle w:val="BodyText"/>
        <w:bidi w:val="0"/>
        <w:spacing w:lineRule="auto" w:line="276" w:before="0" w:after="140"/>
        <w:jc w:val="start"/>
        <w:rPr/>
      </w:pPr>
      <w:r>
        <w:rPr/>
        <w:t>Next, we'll introduce the concept of clinical trial management systems and understand how they support this entire lifecycle.</w:t>
      </w:r>
    </w:p>
    <w:sectPr>
      <w:type w:val="nextPage"/>
      <w:pgSz w:w="11906" w:h="16838"/>
      <w:pgMar w:left="1134" w:right="1134" w:gutter="0" w:header="0" w:top="1134" w:footer="0" w:bottom="1134"/>
      <w:pgNumType w:fmt="decimal"/>
      <w:formProt w:val="false"/>
      <w:textDirection w:val="lrTb"/>
      <w:docGrid w:type="default" w:linePitch="600" w:charSpace="32768"/>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Liberation Sans">
    <w:altName w:val="Arial"/>
    <w:charset w:val="01" w:characterSet="utf-8"/>
    <w:family w:val="swiss"/>
    <w:pitch w:val="variable"/>
  </w:font>
</w:fonts>
</file>

<file path=word/settings.xml><?xml version="1.0" encoding="utf-8"?>
<w:settings xmlns:w="http://schemas.openxmlformats.org/wordprocessingml/2006/main">
  <w:zoom w:percent="81"/>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oto Serif CJK SC" w:cs="Noto Sans Devanagari"/>
        <w:kern w:val="2"/>
        <w:sz w:val="24"/>
        <w:szCs w:val="24"/>
        <w:lang w:val="en-US"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Liberation Serif" w:hAnsi="Liberation Serif" w:eastAsia="Noto Serif CJK SC" w:cs="Noto Sans Devanagari"/>
      <w:color w:val="auto"/>
      <w:kern w:val="2"/>
      <w:sz w:val="24"/>
      <w:szCs w:val="24"/>
      <w:lang w:val="en-US" w:eastAsia="zh-CN" w:bidi="hi-IN"/>
    </w:rPr>
  </w:style>
  <w:style w:type="paragraph" w:styleId="Heading2">
    <w:name w:val="Heading 2"/>
    <w:basedOn w:val="Heading"/>
    <w:next w:val="BodyText"/>
    <w:qFormat/>
    <w:pPr>
      <w:numPr>
        <w:ilvl w:val="0"/>
        <w:numId w:val="0"/>
      </w:numPr>
      <w:spacing w:before="200" w:after="120"/>
      <w:outlineLvl w:val="1"/>
    </w:pPr>
    <w:rPr>
      <w:rFonts w:ascii="Liberation Serif" w:hAnsi="Liberation Serif" w:eastAsia="Noto Serif CJK SC" w:cs="Noto Sans Devanagari"/>
      <w:b/>
      <w:bCs/>
      <w:sz w:val="36"/>
      <w:szCs w:val="36"/>
    </w:rPr>
  </w:style>
  <w:style w:type="paragraph" w:styleId="Heading3">
    <w:name w:val="Heading 3"/>
    <w:basedOn w:val="Heading"/>
    <w:next w:val="BodyText"/>
    <w:qFormat/>
    <w:pPr>
      <w:numPr>
        <w:ilvl w:val="0"/>
        <w:numId w:val="0"/>
      </w:numPr>
      <w:spacing w:before="140" w:after="120"/>
      <w:outlineLvl w:val="2"/>
    </w:pPr>
    <w:rPr>
      <w:rFonts w:ascii="Liberation Serif" w:hAnsi="Liberation Serif" w:eastAsia="Noto Serif CJK SC" w:cs="Noto Sans Devanagari"/>
      <w:b/>
      <w:bCs/>
      <w:sz w:val="28"/>
      <w:szCs w:val="28"/>
    </w:rPr>
  </w:style>
  <w:style w:type="character" w:styleId="Strong">
    <w:name w:val="Strong"/>
    <w:qFormat/>
    <w:rPr>
      <w:b/>
      <w:bCs/>
    </w:rPr>
  </w:style>
  <w:style w:type="paragraph" w:styleId="Heading">
    <w:name w:val="Heading"/>
    <w:basedOn w:val="Normal"/>
    <w:next w:val="BodyText"/>
    <w:qFormat/>
    <w:pPr>
      <w:keepNext w:val="true"/>
      <w:spacing w:before="240" w:after="120"/>
    </w:pPr>
    <w:rPr>
      <w:rFonts w:ascii="Liberation Sans" w:hAnsi="Liberation Sans" w:eastAsia="Noto Sans CJK SC" w:cs="Noto Sans Devanagari"/>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Noto Sans Devanagari"/>
    </w:rPr>
  </w:style>
  <w:style w:type="paragraph" w:styleId="Caption">
    <w:name w:val="Caption"/>
    <w:basedOn w:val="Normal"/>
    <w:qFormat/>
    <w:pPr>
      <w:suppressLineNumbers/>
      <w:spacing w:before="120" w:after="120"/>
    </w:pPr>
    <w:rPr>
      <w:rFonts w:cs="Noto Sans Devanagari"/>
      <w:i/>
      <w:iCs/>
      <w:sz w:val="24"/>
      <w:szCs w:val="24"/>
    </w:rPr>
  </w:style>
  <w:style w:type="paragraph" w:styleId="Index">
    <w:name w:val="Index"/>
    <w:basedOn w:val="Normal"/>
    <w:qFormat/>
    <w:pPr>
      <w:suppressLineNumbers/>
    </w:pPr>
    <w:rPr>
      <w:rFonts w:cs="Noto Sans Devanagari"/>
    </w:rPr>
  </w:style>
  <w:style w:type="paragraph" w:styleId="HorizontalLine">
    <w:name w:val="Horizontal Line"/>
    <w:basedOn w:val="Normal"/>
    <w:next w:val="BodyText"/>
    <w:qFormat/>
    <w:pPr>
      <w:suppressLineNumbers/>
      <w:pBdr>
        <w:bottom w:val="double" w:sz="2" w:space="0" w:color="808080"/>
      </w:pBdr>
      <w:spacing w:before="0" w:after="283"/>
    </w:pPr>
    <w:rPr>
      <w:sz w:val="12"/>
      <w:szCs w:val="12"/>
    </w:rPr>
  </w:style>
  <w:style w:type="paragraph" w:styleId="TableContents">
    <w:name w:val="Table Contents"/>
    <w:basedOn w:val="Normal"/>
    <w:qFormat/>
    <w:pPr>
      <w:widowControl w:val="false"/>
      <w:suppressLineNumbers/>
    </w:pPr>
    <w:rPr/>
  </w:style>
  <w:style w:type="paragraph" w:styleId="TableHeading">
    <w:name w:val="Table Heading"/>
    <w:basedOn w:val="TableContents"/>
    <w:qFormat/>
    <w:pPr>
      <w:suppressLineNumbers/>
      <w:jc w:val="center"/>
    </w:pPr>
    <w:rPr>
      <w:b/>
      <w:bCs/>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0</TotalTime>
  <Application>LibreOffice/24.2.7.2$Linux_X86_64 LibreOffice_project/420$Build-2</Application>
  <AppVersion>15.0000</AppVersion>
  <Pages>4</Pages>
  <Words>1306</Words>
  <Characters>7873</Characters>
  <CharactersWithSpaces>9129</CharactersWithSpaces>
  <Paragraphs>50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2026-01-15T12:56:39Z</dcterms:created>
  <dc:creator/>
  <dc:description/>
  <dc:language>en-US</dc:language>
  <cp:lastModifiedBy/>
  <dcterms:modified xsi:type="dcterms:W3CDTF">2026-01-16T17:01:35Z</dcterms:modified>
  <cp:revision>2</cp:revision>
  <dc:subject/>
  <dc:title/>
</cp:coreProperties>
</file>