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numPr>
          <w:ilvl w:val="0"/>
          <w:numId w:val="0"/>
        </w:numPr>
        <w:bidi w:val="0"/>
        <w:spacing w:before="140" w:after="120"/>
        <w:ind w:hanging="0" w:start="0"/>
        <w:jc w:val="start"/>
        <w:rPr/>
      </w:pPr>
      <w:r>
        <w:rPr/>
        <w:t>Opening (~30 seconds)</w:t>
      </w:r>
    </w:p>
    <w:p>
      <w:pPr>
        <w:pStyle w:val="BodyText"/>
        <w:bidi w:val="0"/>
        <w:spacing w:lineRule="auto" w:line="276" w:before="0" w:after="140"/>
        <w:jc w:val="start"/>
        <w:rPr/>
      </w:pPr>
      <w:r>
        <w:rPr/>
        <w:t>Now that you understand what a CTMS does and why it matters, let's look at where everything begins: study setup and configuration.</w:t>
        <w:br/>
        <w:t>Before you can enroll a single participant, before you can record any data, you need to translate your research protocol into a working system. This setup phase is foundational. Get it right, and the system supports your work throughout the study. Get it wrong, and you'll be fighting configuration problems while trying to do science.</w:t>
      </w:r>
    </w:p>
    <w:p>
      <w:pPr>
        <w:pStyle w:val="BodyText"/>
        <w:bidi w:val="0"/>
        <w:spacing w:lineRule="auto" w:line="276" w:before="0" w:after="140"/>
        <w:jc w:val="start"/>
        <w:rPr/>
      </w:pPr>
      <w:r>
        <w:rPr/>
        <w:t>In this section, we'll walk through the key elements of study configuration: what decisions you need to make, how protocol design translates into system settings, and how to avoid common pitfalls that trip up new researchers.</w:t>
      </w:r>
    </w:p>
    <w:p>
      <w:pPr>
        <w:pStyle w:val="Heading3"/>
        <w:numPr>
          <w:ilvl w:val="0"/>
          <w:numId w:val="0"/>
        </w:numPr>
        <w:bidi w:val="0"/>
        <w:spacing w:before="140" w:after="120"/>
        <w:ind w:hanging="0" w:start="0"/>
        <w:jc w:val="start"/>
        <w:rPr/>
      </w:pPr>
      <w:r>
        <w:rPr/>
        <w:t>From Protocol to System Configuration (~2 minutes)</w:t>
      </w:r>
    </w:p>
    <w:p>
      <w:pPr>
        <w:pStyle w:val="BodyText"/>
        <w:bidi w:val="0"/>
        <w:spacing w:lineRule="auto" w:line="276" w:before="0" w:after="140"/>
        <w:jc w:val="start"/>
        <w:rPr/>
      </w:pPr>
      <w:r>
        <w:rPr/>
        <w:t>Your research protocol is the scientific blueprint for your study. It defines your objectives, your target population, your interventions, your outcome measures, and the procedures you'll follow. The CTMS configuration is the operational translation of that blueprint into a working system.</w:t>
      </w:r>
    </w:p>
    <w:p>
      <w:pPr>
        <w:pStyle w:val="BodyText"/>
        <w:bidi w:val="0"/>
        <w:spacing w:lineRule="auto" w:line="276" w:before="0" w:after="140"/>
        <w:jc w:val="start"/>
        <w:rPr/>
      </w:pPr>
      <w:r>
        <w:rPr/>
        <w:t>Think of it this way: the protocol says “we will measure depression symptoms using the PHQ-9 at baseline and weeks four, eight, and twelve.” The CTMS configuration creates a visit schedule with those four timepoints, assigns the PHQ-9 as a required assessment at each visit, and defines the scoring parameters for that instrument.</w:t>
      </w:r>
    </w:p>
    <w:p>
      <w:pPr>
        <w:pStyle w:val="BodyText"/>
        <w:bidi w:val="0"/>
        <w:spacing w:lineRule="auto" w:line="276" w:before="0" w:after="140"/>
        <w:jc w:val="start"/>
        <w:rPr/>
      </w:pPr>
      <w:r>
        <w:rPr/>
        <w:t>Every configuration decision should trace back to something in your protocol. If you're adding a data field, ask yourself: what research question does this serve? If you're creating a visit, ask: what does the protocol require at this timepoint? This discipline prevents configuration bloat, where systems become cluttered with fields and forms that no one actually needs.</w:t>
      </w:r>
    </w:p>
    <w:p>
      <w:pPr>
        <w:pStyle w:val="BodyText"/>
        <w:bidi w:val="0"/>
        <w:spacing w:lineRule="auto" w:line="276" w:before="0" w:after="140"/>
        <w:jc w:val="start"/>
        <w:rPr/>
      </w:pPr>
      <w:r>
        <w:rPr/>
        <w:t>The relationship works both ways. Sometimes configuring the system reveals gaps or ambiguities in the protocol itself. If you can't figure out how to set up eligibility criteria in the system, it might be because the protocol's inclusion and exclusion criteria aren't specific enough. This feedback loop between protocol and system helps strengthen both.</w:t>
      </w:r>
    </w:p>
    <w:p>
      <w:pPr>
        <w:pStyle w:val="Heading3"/>
        <w:numPr>
          <w:ilvl w:val="0"/>
          <w:numId w:val="0"/>
        </w:numPr>
        <w:bidi w:val="0"/>
        <w:spacing w:before="140" w:after="120"/>
        <w:ind w:hanging="0" w:start="0"/>
        <w:jc w:val="start"/>
        <w:rPr/>
      </w:pPr>
      <w:r>
        <w:rPr/>
        <w:t>Study Metadata and Core Settings (~1.5 minutes)</w:t>
      </w:r>
    </w:p>
    <w:p>
      <w:pPr>
        <w:pStyle w:val="BodyText"/>
        <w:bidi w:val="0"/>
        <w:spacing w:lineRule="auto" w:line="276" w:before="0" w:after="140"/>
        <w:jc w:val="start"/>
        <w:rPr/>
      </w:pPr>
      <w:r>
        <w:rPr/>
        <w:t>Every study begins with basic identification. You'll enter the study title, typically matching your protocol's official name. You'll assign identifiers: perhaps an internal project code, a grant number, or a clinical trial registry number like an NCT identifier if you've registered with ClinicalTrials.gov.</w:t>
      </w:r>
    </w:p>
    <w:p>
      <w:pPr>
        <w:pStyle w:val="BodyText"/>
        <w:bidi w:val="0"/>
        <w:spacing w:lineRule="auto" w:line="276" w:before="0" w:after="140"/>
        <w:jc w:val="start"/>
        <w:rPr/>
      </w:pPr>
      <w:r>
        <w:rPr/>
        <w:t>You'll specify the study type. Is this an interventional trial testing a treatment? An observational study following patients without intervention? A registry collecting data on a particular condition? The study type affects what fields and workflows the system presents.</w:t>
      </w:r>
    </w:p>
    <w:p>
      <w:pPr>
        <w:pStyle w:val="BodyText"/>
        <w:bidi w:val="0"/>
        <w:spacing w:lineRule="auto" w:line="276" w:before="0" w:after="140"/>
        <w:jc w:val="start"/>
        <w:rPr/>
      </w:pPr>
      <w:r>
        <w:rPr/>
        <w:t>For interventional trials, you'll indicate the phase. Phase one studies focus on safety in small groups. Phase two expands to larger groups and begins assessing efficacy. Phase three involves large-scale testing. Phase four happens after approval. Academic research studies might not fit neatly into these categories, but the framework helps characterize the work.</w:t>
      </w:r>
    </w:p>
    <w:p>
      <w:pPr>
        <w:pStyle w:val="BodyText"/>
        <w:bidi w:val="0"/>
        <w:spacing w:lineRule="auto" w:line="276" w:before="0" w:after="140"/>
        <w:jc w:val="start"/>
        <w:rPr/>
      </w:pPr>
      <w:r>
        <w:rPr/>
        <w:t>You'll set key dates: planned start date, estimated completion, enrollment targets. These become reference points for monitoring progress. If you planned to enroll fifty participants by month six and you've enrolled twelve, the system can flag that you're behind schedule.</w:t>
      </w:r>
    </w:p>
    <w:p>
      <w:pPr>
        <w:pStyle w:val="Heading3"/>
        <w:numPr>
          <w:ilvl w:val="0"/>
          <w:numId w:val="0"/>
        </w:numPr>
        <w:bidi w:val="0"/>
        <w:spacing w:before="140" w:after="120"/>
        <w:ind w:hanging="0" w:start="0"/>
        <w:jc w:val="start"/>
        <w:rPr/>
      </w:pPr>
      <w:r>
        <w:rPr/>
        <w:t>Defining Arms and Cohorts (~2 minutes)</w:t>
      </w:r>
    </w:p>
    <w:p>
      <w:pPr>
        <w:pStyle w:val="BodyText"/>
        <w:bidi w:val="0"/>
        <w:spacing w:lineRule="auto" w:line="276" w:before="0" w:after="140"/>
        <w:jc w:val="start"/>
        <w:rPr/>
      </w:pPr>
      <w:r>
        <w:rPr/>
        <w:t>Most studies involve comparing groups. In interventional trials, these are typically called arms: a treatment arm receiving the intervention, a control arm receiving placebo or standard care, perhaps multiple treatment arms testing different doses or approaches. In observational studies, you might have cohorts: groups defined by exposure, condition, or other characteristics.</w:t>
      </w:r>
    </w:p>
    <w:p>
      <w:pPr>
        <w:pStyle w:val="BodyText"/>
        <w:bidi w:val="0"/>
        <w:spacing w:lineRule="auto" w:line="276" w:before="0" w:after="140"/>
        <w:jc w:val="start"/>
        <w:rPr/>
      </w:pPr>
      <w:r>
        <w:rPr/>
        <w:t>Configuring arms and cohorts means defining these groups in the system. Each arm needs a name, a description, and potentially its own set of parameters. Some arms might have different visit schedules, different assessments, or different data collection requirements.</w:t>
      </w:r>
    </w:p>
    <w:p>
      <w:pPr>
        <w:pStyle w:val="BodyText"/>
        <w:bidi w:val="0"/>
        <w:spacing w:lineRule="auto" w:line="276" w:before="0" w:after="140"/>
        <w:jc w:val="start"/>
        <w:rPr/>
      </w:pPr>
      <w:r>
        <w:rPr/>
        <w:t>You'll also configure how participants get assigned to arms. In randomized trials, the system might handle randomization itself, using algorithms to assign participants in predetermined ratios while maintaining concealment. Stratified randomization ensures balanced groups across important variables like age or disease severity.</w:t>
      </w:r>
    </w:p>
    <w:p>
      <w:pPr>
        <w:pStyle w:val="BodyText"/>
        <w:bidi w:val="0"/>
        <w:spacing w:lineRule="auto" w:line="276" w:before="0" w:after="140"/>
        <w:jc w:val="start"/>
        <w:rPr/>
      </w:pPr>
      <w:r>
        <w:rPr/>
        <w:t>For non-randomized studies, assignment might be based on eligibility criteria, participant choice, or clinical judgment. The system tracks these assignments and can enforce rules about who belongs in which group.</w:t>
      </w:r>
    </w:p>
    <w:p>
      <w:pPr>
        <w:pStyle w:val="BodyText"/>
        <w:bidi w:val="0"/>
        <w:spacing w:lineRule="auto" w:line="276" w:before="0" w:after="140"/>
        <w:jc w:val="start"/>
        <w:rPr/>
      </w:pPr>
      <w:r>
        <w:rPr/>
        <w:t>The key is that arm configuration should match your protocol's study design. If the protocol describes a two-arm parallel design, configure two arms. If it describes a crossover where participants receive both treatments in sequence, configure that structure. The system should reflect the science.</w:t>
      </w:r>
    </w:p>
    <w:p>
      <w:pPr>
        <w:pStyle w:val="Heading3"/>
        <w:numPr>
          <w:ilvl w:val="0"/>
          <w:numId w:val="0"/>
        </w:numPr>
        <w:bidi w:val="0"/>
        <w:spacing w:before="140" w:after="120"/>
        <w:ind w:hanging="0" w:start="0"/>
        <w:jc w:val="start"/>
        <w:rPr/>
      </w:pPr>
      <w:r>
        <w:rPr/>
        <w:t>Visit Schedules and Timepoints (~2 minutes)</w:t>
      </w:r>
    </w:p>
    <w:p>
      <w:pPr>
        <w:pStyle w:val="BodyText"/>
        <w:bidi w:val="0"/>
        <w:spacing w:lineRule="auto" w:line="276" w:before="0" w:after="140"/>
        <w:jc w:val="start"/>
        <w:rPr/>
      </w:pPr>
      <w:r>
        <w:rPr/>
        <w:t>Clinical studies unfold over time, with specific activities occurring at specific points. The visit schedule defines this timeline: screening visits to assess eligibility, baseline visits to collect pre-treatment data, treatment visits where interventions are administered, follow-up visits to track outcomes, and a final study completion visit.</w:t>
      </w:r>
    </w:p>
    <w:p>
      <w:pPr>
        <w:pStyle w:val="BodyText"/>
        <w:bidi w:val="0"/>
        <w:spacing w:lineRule="auto" w:line="276" w:before="0" w:after="140"/>
        <w:jc w:val="start"/>
        <w:rPr/>
      </w:pPr>
      <w:r>
        <w:rPr/>
        <w:t>Each visit or timepoint gets configured with several parameters. First, when should it occur? This might be a specific day, like Day Zero for baseline, or relative to another event, like fourteen days after treatment initiation.</w:t>
      </w:r>
    </w:p>
    <w:p>
      <w:pPr>
        <w:pStyle w:val="BodyText"/>
        <w:bidi w:val="0"/>
        <w:spacing w:lineRule="auto" w:line="276" w:before="0" w:after="140"/>
        <w:jc w:val="start"/>
        <w:rPr/>
      </w:pPr>
      <w:r>
        <w:rPr/>
        <w:t>Second, what's the acceptable window? Real-world scheduling rarely hits exact dates. A “Week Four visit” might actually occur anywhere from Day 25 to Day 31. Defining visit windows in the system allows flexibility while flagging visits that fall outside acceptable ranges.</w:t>
      </w:r>
    </w:p>
    <w:p>
      <w:pPr>
        <w:pStyle w:val="BodyText"/>
        <w:bidi w:val="0"/>
        <w:spacing w:lineRule="auto" w:line="276" w:before="0" w:after="140"/>
        <w:jc w:val="start"/>
        <w:rPr/>
      </w:pPr>
      <w:r>
        <w:rPr/>
        <w:t>Third, what assessments occur at this visit? Each timepoint specifies which data collection instruments apply: which questionnaires to administer, which vital signs to measure, which lab tests to order. This creates a checklist of required activities for each visit.</w:t>
      </w:r>
    </w:p>
    <w:p>
      <w:pPr>
        <w:pStyle w:val="BodyText"/>
        <w:bidi w:val="0"/>
        <w:spacing w:lineRule="auto" w:line="276" w:before="0" w:after="140"/>
        <w:jc w:val="start"/>
        <w:rPr/>
      </w:pPr>
      <w:r>
        <w:rPr/>
        <w:t>Getting visit windows right matters more than many new researchers realize. Too narrow, and routine scheduling variations become protocol deviations. Too wide, and your data collection timing becomes inconsistent in ways that affect analysis. Look at similar published studies for guidance on realistic windows.</w:t>
      </w:r>
    </w:p>
    <w:p>
      <w:pPr>
        <w:pStyle w:val="Heading3"/>
        <w:numPr>
          <w:ilvl w:val="0"/>
          <w:numId w:val="0"/>
        </w:numPr>
        <w:bidi w:val="0"/>
        <w:spacing w:before="140" w:after="120"/>
        <w:ind w:hanging="0" w:start="0"/>
        <w:jc w:val="start"/>
        <w:rPr/>
      </w:pPr>
      <w:r>
        <w:rPr/>
        <w:t>Data Types and Outcome Measures (~2 minutes)</w:t>
      </w:r>
    </w:p>
    <w:p>
      <w:pPr>
        <w:pStyle w:val="BodyText"/>
        <w:bidi w:val="0"/>
        <w:spacing w:lineRule="auto" w:line="276" w:before="0" w:after="140"/>
        <w:jc w:val="start"/>
        <w:rPr/>
      </w:pPr>
      <w:r>
        <w:rPr/>
        <w:t>The heart of any study is the data you collect. Configuration involves specifying exactly what data types your study will capture and how they'll be structured.</w:t>
      </w:r>
    </w:p>
    <w:p>
      <w:pPr>
        <w:pStyle w:val="BodyText"/>
        <w:bidi w:val="0"/>
        <w:spacing w:lineRule="auto" w:line="276" w:before="0" w:after="140"/>
        <w:jc w:val="start"/>
        <w:rPr/>
      </w:pPr>
      <w:r>
        <w:rPr/>
        <w:t>Traditional clinical measures include vital signs like blood pressure, heart rate, and temperature. These need defined units, normal ranges, and validation rules. A systolic blood pressure of 300 is almost certainly a data entry error; the system should flag it.</w:t>
      </w:r>
    </w:p>
    <w:p>
      <w:pPr>
        <w:pStyle w:val="BodyText"/>
        <w:bidi w:val="0"/>
        <w:spacing w:lineRule="auto" w:line="276" w:before="0" w:after="140"/>
        <w:jc w:val="start"/>
        <w:rPr/>
      </w:pPr>
      <w:r>
        <w:rPr/>
        <w:t>Biomarkers and laboratory values require similar specification. What's being measured? In what units? What's the reference range? How should out-of-range values be handled?</w:t>
      </w:r>
    </w:p>
    <w:p>
      <w:pPr>
        <w:pStyle w:val="BodyText"/>
        <w:bidi w:val="0"/>
        <w:spacing w:lineRule="auto" w:line="276" w:before="0" w:after="140"/>
        <w:jc w:val="start"/>
        <w:rPr/>
      </w:pPr>
      <w:r>
        <w:rPr/>
        <w:t>Standardized assessment instruments, such as depression scales, quality of life questionnaires, or cognitive tests, need their scoring algorithms configured. The PHQ-9, for example, has nine items scored zero to three, with specific cutoffs for severity categories. Configure this correctly once, and the system calculates scores automatically.</w:t>
      </w:r>
    </w:p>
    <w:p>
      <w:pPr>
        <w:pStyle w:val="BodyText"/>
        <w:bidi w:val="0"/>
        <w:spacing w:lineRule="auto" w:line="276" w:before="0" w:after="140"/>
        <w:jc w:val="start"/>
        <w:rPr/>
      </w:pPr>
      <w:r>
        <w:rPr/>
        <w:t>Adverse event categories need definition: what types of events you'll track, what severity scales you'll use, what causality assessments you'll require. We'll cover adverse event handling in detail in a later topic.</w:t>
      </w:r>
    </w:p>
    <w:p>
      <w:pPr>
        <w:pStyle w:val="BodyText"/>
        <w:bidi w:val="0"/>
        <w:spacing w:lineRule="auto" w:line="276" w:before="0" w:after="140"/>
        <w:jc w:val="start"/>
        <w:rPr/>
      </w:pPr>
      <w:r>
        <w:rPr/>
        <w:t>Your primary and secondary outcome measures deserve special attention. These are the endpoints that will answer your research questions. Make sure they're configured correctly, collected at the right timepoints, and clearly distinguished from exploratory measures.</w:t>
      </w:r>
    </w:p>
    <w:p>
      <w:pPr>
        <w:pStyle w:val="Heading3"/>
        <w:numPr>
          <w:ilvl w:val="0"/>
          <w:numId w:val="0"/>
        </w:numPr>
        <w:bidi w:val="0"/>
        <w:spacing w:before="140" w:after="120"/>
        <w:ind w:hanging="0" w:start="0"/>
        <w:jc w:val="start"/>
        <w:rPr/>
      </w:pPr>
      <w:r>
        <w:rPr/>
        <w:t>Eligibility Criteria (~1 minute)</w:t>
      </w:r>
    </w:p>
    <w:p>
      <w:pPr>
        <w:pStyle w:val="BodyText"/>
        <w:bidi w:val="0"/>
        <w:spacing w:lineRule="auto" w:line="276" w:before="0" w:after="140"/>
        <w:jc w:val="start"/>
        <w:rPr/>
      </w:pPr>
      <w:r>
        <w:rPr/>
        <w:t>Who can participate in your study? Eligibility criteria define the boundaries: inclusion criteria that participants must meet, and exclusion criteria that disqualify them.</w:t>
      </w:r>
    </w:p>
    <w:p>
      <w:pPr>
        <w:pStyle w:val="BodyText"/>
        <w:bidi w:val="0"/>
        <w:spacing w:lineRule="auto" w:line="276" w:before="0" w:after="140"/>
        <w:jc w:val="start"/>
        <w:rPr/>
      </w:pPr>
      <w:r>
        <w:rPr/>
        <w:t>Configuring these in the system enables automated eligibility checking. When screening data is entered, the system can immediately flag whether someone meets criteria. Age outside the allowed range? Automatic flag. Required diagnosis not present? Automatic flag. This catches errors before enrollment rather than discovering them later.</w:t>
      </w:r>
    </w:p>
    <w:p>
      <w:pPr>
        <w:pStyle w:val="BodyText"/>
        <w:bidi w:val="0"/>
        <w:spacing w:lineRule="auto" w:line="276" w:before="0" w:after="140"/>
        <w:jc w:val="start"/>
        <w:rPr/>
      </w:pPr>
      <w:r>
        <w:rPr/>
        <w:t>The specificity of your protocol's criteria determines how precisely you can configure this checking. “Adults with depression” is harder to automate than “Ages 18 to 65 with PHQ-9 score of 10 or higher.” The configuration process often reveals where eligibility criteria need tightening.</w:t>
      </w:r>
    </w:p>
    <w:p>
      <w:pPr>
        <w:pStyle w:val="Heading3"/>
        <w:numPr>
          <w:ilvl w:val="0"/>
          <w:numId w:val="0"/>
        </w:numPr>
        <w:bidi w:val="0"/>
        <w:spacing w:before="140" w:after="120"/>
        <w:ind w:hanging="0" w:start="0"/>
        <w:jc w:val="start"/>
        <w:rPr/>
      </w:pPr>
      <w:r>
        <w:rPr/>
        <w:t>Study Documents (~1 minute)</w:t>
      </w:r>
    </w:p>
    <w:p>
      <w:pPr>
        <w:pStyle w:val="BodyText"/>
        <w:bidi w:val="0"/>
        <w:spacing w:lineRule="auto" w:line="276" w:before="0" w:after="140"/>
        <w:jc w:val="start"/>
        <w:rPr/>
      </w:pPr>
      <w:r>
        <w:rPr/>
        <w:t>A clinical study generates and requires numerous documents: the protocol itself, informed consent forms, investigator brochures, ethics approval letters, standard operating procedures, regulatory correspondence.</w:t>
      </w:r>
    </w:p>
    <w:p>
      <w:pPr>
        <w:pStyle w:val="BodyText"/>
        <w:bidi w:val="0"/>
        <w:spacing w:lineRule="auto" w:line="276" w:before="0" w:after="140"/>
        <w:jc w:val="start"/>
        <w:rPr/>
      </w:pPr>
      <w:r>
        <w:rPr/>
        <w:t>The CTMS serves as a repository for these documents, but more importantly, it manages versions. Protocols get amended. Consent forms get revised. Everyone on the team needs to know which version is current and have access to it.</w:t>
      </w:r>
    </w:p>
    <w:p>
      <w:pPr>
        <w:pStyle w:val="BodyText"/>
        <w:bidi w:val="0"/>
        <w:spacing w:lineRule="auto" w:line="276" w:before="0" w:after="140"/>
        <w:jc w:val="start"/>
        <w:rPr/>
      </w:pPr>
      <w:r>
        <w:rPr/>
        <w:t>During configuration, you'll upload initial versions of key documents and establish the version control approach. When amendments occur later, you'll update documents in the system, creating a clear record of what changed and when.</w:t>
      </w:r>
    </w:p>
    <w:p>
      <w:pPr>
        <w:pStyle w:val="Heading3"/>
        <w:numPr>
          <w:ilvl w:val="0"/>
          <w:numId w:val="0"/>
        </w:numPr>
        <w:bidi w:val="0"/>
        <w:spacing w:before="140" w:after="120"/>
        <w:ind w:hanging="0" w:start="0"/>
        <w:jc w:val="start"/>
        <w:rPr/>
      </w:pPr>
      <w:r>
        <w:rPr/>
        <w:t>Managing Amendments and Configuration Changes (~1.5 minutes)</w:t>
      </w:r>
    </w:p>
    <w:p>
      <w:pPr>
        <w:pStyle w:val="BodyText"/>
        <w:bidi w:val="0"/>
        <w:spacing w:lineRule="auto" w:line="276" w:before="0" w:after="140"/>
        <w:jc w:val="start"/>
        <w:rPr/>
      </w:pPr>
      <w:r>
        <w:rPr/>
        <w:t>Here's something that surprises many first-time researchers: your initial configuration won't be final. Studies change. Protocols get amended. You discover that a visit window is impractical, that an assessment is taking too long, that eligibility criteria are too restrictive.</w:t>
      </w:r>
    </w:p>
    <w:p>
      <w:pPr>
        <w:pStyle w:val="BodyText"/>
        <w:bidi w:val="0"/>
        <w:spacing w:lineRule="auto" w:line="276" w:before="0" w:after="140"/>
        <w:jc w:val="start"/>
        <w:rPr/>
      </w:pPr>
      <w:r>
        <w:rPr/>
        <w:t>Managing configuration changes requires a systematic approach. First, assess the impact. Adding a new questionnaire to future visits is straightforward. Changing the scoring of an existing instrument affects already-collected data. Understand what the change means for the study as a whole.</w:t>
      </w:r>
    </w:p>
    <w:p>
      <w:pPr>
        <w:pStyle w:val="BodyText"/>
        <w:bidi w:val="0"/>
        <w:spacing w:lineRule="auto" w:line="276" w:before="0" w:after="140"/>
        <w:jc w:val="start"/>
        <w:rPr/>
      </w:pPr>
      <w:r>
        <w:rPr/>
        <w:t>Second, coordinate with protocol amendments. Most significant configuration changes reflect protocol changes, which require ethics committee approval. The system change and the regulatory approval need to be synchronized.</w:t>
      </w:r>
    </w:p>
    <w:p>
      <w:pPr>
        <w:pStyle w:val="BodyText"/>
        <w:bidi w:val="0"/>
        <w:spacing w:lineRule="auto" w:line="276" w:before="0" w:after="140"/>
        <w:jc w:val="start"/>
        <w:rPr/>
      </w:pPr>
      <w:r>
        <w:rPr/>
        <w:t>Third, document everything. Why was the change made? When did it take effect? Which participants are affected? The audit trail should tell the complete story of your study's configuration evolution.</w:t>
      </w:r>
    </w:p>
    <w:p>
      <w:pPr>
        <w:pStyle w:val="BodyText"/>
        <w:bidi w:val="0"/>
        <w:spacing w:lineRule="auto" w:line="276" w:before="0" w:after="140"/>
        <w:jc w:val="start"/>
        <w:rPr/>
      </w:pPr>
      <w:r>
        <w:rPr/>
        <w:t>Finally, communicate with your team. Everyone needs to know about changes that affect their work. The system can help by providing version histories and change notifications, but human communication remains essential.</w:t>
      </w:r>
    </w:p>
    <w:p>
      <w:pPr>
        <w:pStyle w:val="Heading3"/>
        <w:numPr>
          <w:ilvl w:val="0"/>
          <w:numId w:val="0"/>
        </w:numPr>
        <w:bidi w:val="0"/>
        <w:spacing w:before="140" w:after="120"/>
        <w:ind w:hanging="0" w:start="0"/>
        <w:jc w:val="start"/>
        <w:rPr/>
      </w:pPr>
      <w:r>
        <w:rPr/>
        <w:t>Common Pitfalls and Best Practices (~1.5 minutes)</w:t>
      </w:r>
    </w:p>
    <w:p>
      <w:pPr>
        <w:pStyle w:val="BodyText"/>
        <w:bidi w:val="0"/>
        <w:spacing w:lineRule="auto" w:line="276" w:before="0" w:after="140"/>
        <w:jc w:val="start"/>
        <w:rPr/>
      </w:pPr>
      <w:r>
        <w:rPr/>
        <w:t>Let's close with lessons learned from researchers who've been through this process.</w:t>
      </w:r>
    </w:p>
    <w:p>
      <w:pPr>
        <w:pStyle w:val="BodyText"/>
        <w:bidi w:val="0"/>
        <w:spacing w:lineRule="auto" w:line="276" w:before="0" w:after="140"/>
        <w:jc w:val="start"/>
        <w:rPr/>
      </w:pPr>
      <w:r>
        <w:rPr/>
        <w:t>The first pitfall is over-complication. It's tempting to collect everything that might be interesting. Resist this urge. Every additional field creates data entry burden, increases error opportunities, and complicates analysis. Collect what you need for your research questions and regulatory requirements—nothing more.</w:t>
      </w:r>
    </w:p>
    <w:p>
      <w:pPr>
        <w:pStyle w:val="BodyText"/>
        <w:bidi w:val="0"/>
        <w:spacing w:lineRule="auto" w:line="276" w:before="0" w:after="140"/>
        <w:jc w:val="start"/>
        <w:rPr/>
      </w:pPr>
      <w:r>
        <w:rPr/>
        <w:t>The second pitfall is vague specification. “Blood pressure” isn't specific enough. Systolic and diastolic, in millimeters of mercury, with the participant seated after five minutes of rest, using a validated automated cuff. Precise definitions prevent inconsistent data collection.</w:t>
      </w:r>
    </w:p>
    <w:p>
      <w:pPr>
        <w:pStyle w:val="BodyText"/>
        <w:bidi w:val="0"/>
        <w:spacing w:lineRule="auto" w:line="276" w:before="0" w:after="140"/>
        <w:jc w:val="start"/>
        <w:rPr/>
      </w:pPr>
      <w:r>
        <w:rPr/>
        <w:t>The third pitfall is unrealistic visit windows. Talk to people who've run similar studies. If participants are working adults, expecting them to come in on exact days is unrealistic. Build in flexibility that matches your population and setting.</w:t>
      </w:r>
    </w:p>
    <w:p>
      <w:pPr>
        <w:pStyle w:val="BodyText"/>
        <w:bidi w:val="0"/>
        <w:spacing w:lineRule="auto" w:line="276" w:before="0" w:after="140"/>
        <w:jc w:val="start"/>
        <w:rPr/>
      </w:pPr>
      <w:r>
        <w:rPr/>
        <w:t>The fourth pitfall is rushing to enrollment. The pressure to start recruiting is real, but launching before configuration is complete and validated creates problems that compound throughout the study. Take the time to test your setup thoroughly.</w:t>
      </w:r>
    </w:p>
    <w:p>
      <w:pPr>
        <w:pStyle w:val="BodyText"/>
        <w:bidi w:val="0"/>
        <w:spacing w:lineRule="auto" w:line="276" w:before="0" w:after="140"/>
        <w:jc w:val="start"/>
        <w:rPr/>
      </w:pPr>
      <w:r>
        <w:rPr/>
        <w:t>The best practice that underlies all of this: configuration should serve your science. Every setting, every field, every rule exists to help you answer your research questions while protecting participants and meeting regulatory requirements. Keep that purpose in mind, and the technical details fall into place.</w:t>
      </w:r>
    </w:p>
    <w:p>
      <w:pPr>
        <w:pStyle w:val="Heading3"/>
        <w:numPr>
          <w:ilvl w:val="0"/>
          <w:numId w:val="0"/>
        </w:numPr>
        <w:bidi w:val="0"/>
        <w:spacing w:before="140" w:after="120"/>
        <w:ind w:hanging="0" w:start="0"/>
        <w:jc w:val="start"/>
        <w:rPr/>
      </w:pPr>
      <w:r>
        <w:rPr/>
        <w:t>Closing  (~30 seconds)</w:t>
      </w:r>
    </w:p>
    <w:p>
      <w:pPr>
        <w:pStyle w:val="BodyText"/>
        <w:bidi w:val="0"/>
        <w:spacing w:lineRule="auto" w:line="276" w:before="0" w:after="140"/>
        <w:jc w:val="start"/>
        <w:rPr/>
      </w:pPr>
      <w:r>
        <w:rPr/>
        <w:t xml:space="preserve">You've now seen how protocol decisions translate into system configuration. </w:t>
      </w:r>
    </w:p>
    <w:p>
      <w:pPr>
        <w:pStyle w:val="BodyText"/>
        <w:bidi w:val="0"/>
        <w:spacing w:lineRule="auto" w:line="276" w:before="0" w:after="140"/>
        <w:jc w:val="start"/>
        <w:rPr/>
      </w:pPr>
      <w:r>
        <w:rPr/>
        <w:t>In the next topic, we'll focus on research team and role management, ensuring the right people have the right access to do their work while maintaining accountability and data security.</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erif">
    <w:altName w:val="Times New Roman"/>
    <w:charset w:val="01" w:characterSet="utf-8"/>
    <w:family w:val="swiss"/>
    <w:pitch w:val="variable"/>
  </w:font>
  <w:font w:name="Liberation Mono">
    <w:altName w:val="Courier New"/>
    <w:charset w:val="01" w:characterSet="utf-8"/>
    <w:family w:val="roman"/>
    <w:pitch w:val="variable"/>
  </w:font>
  <w:font w:name="Liberation Sans">
    <w:altName w:val="Arial"/>
    <w:charset w:val="01" w:characterSet="utf-8"/>
    <w:family w:val="roman"/>
    <w:pitch w:val="variable"/>
  </w:font>
</w:fonts>
</file>

<file path=word/settings.xml><?xml version="1.0" encoding="utf-8"?>
<w:settings xmlns:w="http://schemas.openxmlformats.org/wordprocessingml/2006/main">
  <w:zoom w:percent="8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3">
    <w:name w:val="Heading 3"/>
    <w:basedOn w:val="Heading"/>
    <w:next w:val="BodyText"/>
    <w:qFormat/>
    <w:pPr>
      <w:spacing w:before="140" w:after="120"/>
      <w:outlineLvl w:val="2"/>
    </w:pPr>
    <w:rPr>
      <w:rFonts w:ascii="Liberation Serif" w:hAnsi="Liberation Serif" w:eastAsia="Noto Serif CJK SC" w:cs="Noto Sans Devanagari"/>
      <w:b/>
      <w:bCs/>
      <w:sz w:val="28"/>
      <w:szCs w:val="28"/>
    </w:rPr>
  </w:style>
  <w:style w:type="character" w:styleId="Strong">
    <w:name w:val="Strong"/>
    <w:qFormat/>
    <w:rPr>
      <w:b/>
      <w:bCs/>
    </w:rPr>
  </w:style>
  <w:style w:type="character" w:styleId="SourceText">
    <w:name w:val="Source Text"/>
    <w:qFormat/>
    <w:rPr>
      <w:rFonts w:ascii="Liberation Mono" w:hAnsi="Liberation Mono" w:eastAsia="Noto Sans Mono CJK SC" w:cs="Liberation Mono"/>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29</TotalTime>
  <Application>LibreOffice/24.2.7.2$Linux_X86_64 LibreOffice_project/420$Build-2</Application>
  <AppVersion>15.0000</AppVersion>
  <Pages>4</Pages>
  <Words>1799</Words>
  <Characters>10674</Characters>
  <CharactersWithSpaces>12418</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2026-01-16T16:29:30Z</dcterms:created>
  <dc:creator/>
  <dc:description/>
  <dc:language>en-US</dc:language>
  <cp:lastModifiedBy/>
  <dcterms:modified xsi:type="dcterms:W3CDTF">2026-01-19T06:53:58Z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