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ing2"/>
        <w:spacing w:before="280" w:after="160"/>
        <w:rPr/>
      </w:pPr>
      <w:r>
        <w:rPr/>
        <w:t>Opening (~30 seconds)</w:t>
      </w:r>
    </w:p>
    <w:p>
      <w:pPr>
        <w:pStyle w:val="Normal"/>
        <w:spacing w:before="0" w:after="200"/>
        <w:rPr/>
      </w:pPr>
      <w:r>
        <w:rPr/>
        <w:t>With your study configured and your team in place, you're ready for what clinical research is ultimately about: working with participants.</w:t>
      </w:r>
    </w:p>
    <w:p>
      <w:pPr>
        <w:pStyle w:val="Normal"/>
        <w:spacing w:before="0" w:after="200"/>
        <w:rPr/>
      </w:pPr>
      <w:r>
        <w:rPr/>
        <w:t>Subject management is the heart of the CTMS. Every person who considers joining your study, every participant who enrolls, every visit they complete, it all flows through this module. Getting it right means accurate data, regulatory compliance, and most importantly, ethical treatment of the people who make your research possible.</w:t>
      </w:r>
    </w:p>
    <w:p>
      <w:pPr>
        <w:pStyle w:val="Normal"/>
        <w:spacing w:before="0" w:after="200"/>
        <w:rPr/>
      </w:pPr>
      <w:r>
        <w:rPr/>
        <w:t>In this section, we'll walk through the complete participant journey: from first contact through study completion, and everything that happens in between.</w:t>
      </w:r>
    </w:p>
    <w:p>
      <w:pPr>
        <w:pStyle w:val="Heading2"/>
        <w:rPr/>
      </w:pPr>
      <w:r>
        <w:rPr/>
        <w:t>Subject Identifiers and De-identification (~1.5 minutes)</w:t>
      </w:r>
    </w:p>
    <w:p>
      <w:pPr>
        <w:pStyle w:val="Normal"/>
        <w:spacing w:before="0" w:after="200"/>
        <w:rPr/>
      </w:pPr>
      <w:r>
        <w:rPr/>
        <w:t>Before we discuss enrollment, let's address a fundamental principle: protecting participant identity.</w:t>
      </w:r>
    </w:p>
    <w:p>
      <w:pPr>
        <w:pStyle w:val="Normal"/>
        <w:spacing w:before="0" w:after="200"/>
        <w:rPr/>
      </w:pPr>
      <w:r>
        <w:rPr/>
        <w:t>In clinical research, we separate identifying information from research data. The CTMS assigns each participant a unique subject identifier, typically a code like S-001 or a more complex alphanumeric string. This identifier, not the person's name, appears on all research records.</w:t>
      </w:r>
    </w:p>
    <w:p>
      <w:pPr>
        <w:pStyle w:val="Normal"/>
        <w:spacing w:before="0" w:after="200"/>
        <w:rPr/>
      </w:pPr>
      <w:r>
        <w:rPr/>
        <w:t>The link between the subject ID and the person's real identity is maintained separately, often in a restricted enrollment log with limited access. This way, the research team can work with data using only subject IDs, while a smaller group maintains the ability to re-identify participants when necessary, for safety follow-up, for example.</w:t>
      </w:r>
    </w:p>
    <w:p>
      <w:pPr>
        <w:pStyle w:val="Normal"/>
        <w:spacing w:before="0" w:after="200"/>
        <w:rPr/>
      </w:pPr>
      <w:r>
        <w:rPr/>
        <w:t>This isn't just good practice; it's often required by privacy regulations and ethics committees. The CTMS enforces this separation by design. When you view a subject record, you see their study ID, their data, their visit history, but identifying details are either hidden or require special access.</w:t>
      </w:r>
    </w:p>
    <w:p>
      <w:pPr>
        <w:pStyle w:val="Normal"/>
        <w:spacing w:before="0" w:after="200"/>
        <w:rPr/>
      </w:pPr>
      <w:r>
        <w:rPr/>
        <w:t>Some systems generate subject IDs automatically using configurable formats. Others allow manual assignment within defined rules. Either way, the principle remains: research data travels under codes, not names.</w:t>
      </w:r>
    </w:p>
    <w:p>
      <w:pPr>
        <w:pStyle w:val="Heading2"/>
        <w:rPr/>
      </w:pPr>
      <w:r>
        <w:rPr/>
        <w:t>Screening and Eligibility Assessment (~2 minutes)</w:t>
      </w:r>
    </w:p>
    <w:p>
      <w:pPr>
        <w:pStyle w:val="Normal"/>
        <w:spacing w:before="0" w:after="200"/>
        <w:rPr/>
      </w:pPr>
      <w:r>
        <w:rPr/>
        <w:t>The participant journey begins with screening. Someone expresses interest in your study. Before they can enroll, you need to determine whether they meet your eligibility criteria.</w:t>
      </w:r>
    </w:p>
    <w:p>
      <w:pPr>
        <w:pStyle w:val="Normal"/>
        <w:spacing w:before="0" w:after="200"/>
        <w:rPr/>
      </w:pPr>
      <w:r>
        <w:rPr/>
        <w:t>In the CTMS, this typically starts by creating a screening record. You capture basic information and begin assessing against your inclusion and exclusion criteria. Does the person fall within your age range? Do they have the required diagnosis? Are any exclusion criteria present, medications that conflict with the study, conditions that would put them at risk?</w:t>
      </w:r>
    </w:p>
    <w:p>
      <w:pPr>
        <w:pStyle w:val="Normal"/>
        <w:spacing w:before="0" w:after="200"/>
        <w:rPr/>
      </w:pPr>
      <w:r>
        <w:rPr/>
        <w:t>If you configured eligibility rules during study setup, the system can help with this assessment. Enter the screening data, and the CTMS flags whether criteria are met or failed. This doesn't replace clinical judgment, the investigator still makes the final eligibility determination, but it catches obvious disqualifiers and ensures nothing is overlooked.</w:t>
      </w:r>
    </w:p>
    <w:p>
      <w:pPr>
        <w:pStyle w:val="Normal"/>
        <w:spacing w:before="0" w:after="200"/>
        <w:rPr/>
      </w:pPr>
      <w:r>
        <w:rPr/>
        <w:t>Not everyone who screens will qualify. The system tracks screen failures too: who was assessed, why they didn't qualify, when this determination was made. This information matters for understanding your recruitment funnel and may be required for regulatory reporting.</w:t>
      </w:r>
    </w:p>
    <w:p>
      <w:pPr>
        <w:pStyle w:val="Normal"/>
        <w:spacing w:before="0" w:after="200"/>
        <w:rPr/>
      </w:pPr>
      <w:r>
        <w:rPr/>
        <w:t>For those who do meet criteria, screening transitions to enrollment. But there's a critical step in between: informed consent.</w:t>
      </w:r>
    </w:p>
    <w:p>
      <w:pPr>
        <w:pStyle w:val="Heading2"/>
        <w:rPr/>
      </w:pPr>
      <w:r>
        <w:rPr/>
        <w:t>Consent Documentation and Tracking (~1.5 minutes)</w:t>
      </w:r>
    </w:p>
    <w:p>
      <w:pPr>
        <w:pStyle w:val="Normal"/>
        <w:spacing w:before="0" w:after="200"/>
        <w:rPr/>
      </w:pPr>
      <w:r>
        <w:rPr/>
        <w:t>Informed consent is the ethical and legal foundation of research participation. Before anyone becomes a study subject, they must understand what they're agreeing to and voluntarily consent to participate.</w:t>
      </w:r>
    </w:p>
    <w:p>
      <w:pPr>
        <w:pStyle w:val="Normal"/>
        <w:spacing w:before="0" w:after="200"/>
        <w:rPr/>
      </w:pPr>
      <w:r>
        <w:rPr/>
        <w:t>The CTMS tracks consent status and documentation. At minimum, you'll record that consent was obtained, when it was obtained, and which version of the consent form was used. Many systems store the actual signed consent documents or link to where they're filed.</w:t>
      </w:r>
    </w:p>
    <w:p>
      <w:pPr>
        <w:pStyle w:val="Normal"/>
        <w:spacing w:before="0" w:after="200"/>
        <w:rPr/>
      </w:pPr>
      <w:r>
        <w:rPr/>
        <w:t>Consent isn't always a one-time event. If the protocol is amended and the consent form changes, participants may need to re-consent to the updated terms. The system tracks these re-consent events, maintaining a history of what each participant agreed to and when.</w:t>
      </w:r>
    </w:p>
    <w:p>
      <w:pPr>
        <w:pStyle w:val="Normal"/>
        <w:spacing w:before="0" w:after="200"/>
        <w:rPr/>
      </w:pPr>
      <w:r>
        <w:rPr/>
        <w:t>Some studies involve additional consent elements: consent for optional sub-studies, consent for biobanking, consent for future contact. The CTMS can track these separately, showing which optional components each participant agreed to.</w:t>
      </w:r>
    </w:p>
    <w:p>
      <w:pPr>
        <w:pStyle w:val="Normal"/>
        <w:spacing w:before="0" w:after="200"/>
        <w:rPr/>
      </w:pPr>
      <w:r>
        <w:rPr/>
        <w:t>The consent record is foundational. No study procedures should occur before consent is documented. Many CTMS platforms enforce this by preventing data entry for participants whose consent status isn't confirmed.</w:t>
      </w:r>
    </w:p>
    <w:p>
      <w:pPr>
        <w:pStyle w:val="Heading2"/>
        <w:rPr/>
      </w:pPr>
      <w:r>
        <w:rPr/>
        <w:t>Enrollment and Arm Assignment (~1.5 minutes)</w:t>
      </w:r>
    </w:p>
    <w:p>
      <w:pPr>
        <w:pStyle w:val="Normal"/>
        <w:spacing w:before="0" w:after="200"/>
        <w:rPr/>
      </w:pPr>
      <w:r>
        <w:rPr/>
        <w:t>With eligibility confirmed and consent documented, the participant officially enrolls. This is when they receive their subject identifier and become part of your study population.</w:t>
      </w:r>
    </w:p>
    <w:p>
      <w:pPr>
        <w:pStyle w:val="Normal"/>
        <w:spacing w:before="0" w:after="200"/>
        <w:rPr/>
      </w:pPr>
      <w:r>
        <w:rPr/>
        <w:t>Enrollment captures key information: the enrollment date, the enrolling site for multi-site studies, the staff member who enrolled them. This creates the official record that this person joined the study at this time.</w:t>
      </w:r>
    </w:p>
    <w:p>
      <w:pPr>
        <w:pStyle w:val="Normal"/>
        <w:spacing w:before="0" w:after="200"/>
        <w:rPr/>
      </w:pPr>
      <w:r>
        <w:rPr/>
        <w:t>If your study has multiple arms or cohorts, enrollment includes arm assignment. In randomized trials, the system may perform randomization at this point, using the algorithms configured during study setup to assign participants to treatment or control groups while maintaining proper blinding if required.</w:t>
      </w:r>
    </w:p>
    <w:p>
      <w:pPr>
        <w:pStyle w:val="Normal"/>
        <w:spacing w:before="0" w:after="200"/>
        <w:rPr/>
      </w:pPr>
      <w:r>
        <w:rPr/>
        <w:t>For non-randomized studies, arm assignment might be based on participant characteristics, clinical judgment, or participant choice, depending on your protocol. The CTMS records the assignment and the basis for it.</w:t>
      </w:r>
    </w:p>
    <w:p>
      <w:pPr>
        <w:pStyle w:val="Normal"/>
        <w:spacing w:before="0" w:after="200"/>
        <w:rPr/>
      </w:pPr>
      <w:r>
        <w:rPr/>
        <w:t>Once enrolled and assigned, the participant's visit schedule activates. The system knows what visits are expected, when they should occur, and what data should be collected at each one. The participant journey through your study has officially begun.</w:t>
      </w:r>
    </w:p>
    <w:p>
      <w:pPr>
        <w:pStyle w:val="Heading2"/>
        <w:rPr/>
      </w:pPr>
      <w:r>
        <w:rPr/>
        <w:t>Status Tracking (~1.5 minutes)</w:t>
      </w:r>
    </w:p>
    <w:p>
      <w:pPr>
        <w:pStyle w:val="Normal"/>
        <w:spacing w:before="0" w:after="200"/>
        <w:rPr/>
      </w:pPr>
      <w:r>
        <w:rPr/>
        <w:t>Participants don't just enroll and disappear until study completion. Their status evolves throughout participation, and tracking this status accurately is essential.</w:t>
      </w:r>
    </w:p>
    <w:p>
      <w:pPr>
        <w:pStyle w:val="Normal"/>
        <w:spacing w:before="0" w:after="200"/>
        <w:rPr/>
      </w:pPr>
      <w:r>
        <w:rPr/>
        <w:t>The most common statuses include: Screening, for those being assessed for eligibility. Enrolled or Active, for participants currently in the study. On Hold, for temporary pauses in participation. Withdrawn, for those who leave before completing. Completed, for those who finish all study activities. Screen Failed, for those who didn't meet eligibility criteria.</w:t>
      </w:r>
    </w:p>
    <w:p>
      <w:pPr>
        <w:pStyle w:val="Normal"/>
        <w:spacing w:before="0" w:after="200"/>
        <w:rPr/>
      </w:pPr>
      <w:r>
        <w:rPr/>
        <w:t>Status changes are recorded with dates and reasons. When someone withdraws, you document when, why, and whether any follow-up is needed. When someone completes, you confirm all required activities were finished.</w:t>
      </w:r>
    </w:p>
    <w:p>
      <w:pPr>
        <w:pStyle w:val="Normal"/>
        <w:spacing w:before="0" w:after="200"/>
        <w:rPr/>
      </w:pPr>
      <w:r>
        <w:rPr/>
        <w:t>Status tracking drives operational workflows. Active participants appear on visit schedules and overdue lists. Withdrawn participants don't. Completed participants might trigger end-of-study procedures. The status field is small but operationally powerful.</w:t>
      </w:r>
    </w:p>
    <w:p>
      <w:pPr>
        <w:pStyle w:val="Normal"/>
        <w:spacing w:before="0" w:after="200"/>
        <w:rPr/>
      </w:pPr>
      <w:r>
        <w:rPr/>
        <w:t>It also feeds reporting. How many participants are currently active? What's your completion rate? Your withdrawal rate? These metrics come directly from status tracking.</w:t>
      </w:r>
    </w:p>
    <w:p>
      <w:pPr>
        <w:pStyle w:val="Heading2"/>
        <w:rPr/>
      </w:pPr>
      <w:r>
        <w:rPr/>
        <w:t>Managing Withdrawals and Protocol Deviations (~1.5 minutes)</w:t>
      </w:r>
    </w:p>
    <w:p>
      <w:pPr>
        <w:pStyle w:val="Normal"/>
        <w:spacing w:before="0" w:after="200"/>
        <w:rPr/>
      </w:pPr>
      <w:r>
        <w:rPr/>
        <w:t>Not every participant completes a study. People move, lose interest, experience side effects, or have life circumstances change. Handling withdrawals properly matters both ethically and scientifically.</w:t>
      </w:r>
    </w:p>
    <w:p>
      <w:pPr>
        <w:pStyle w:val="Normal"/>
        <w:spacing w:before="0" w:after="200"/>
        <w:rPr/>
      </w:pPr>
      <w:r>
        <w:rPr/>
        <w:t>When a participant withdraws, the CTMS captures the details. What was the reason? Was it their decision, or were they removed by the investigator? Did they withdraw from all study activities, or just from treatment while agreeing to continued follow-up? What was their last completed visit?</w:t>
      </w:r>
    </w:p>
    <w:p>
      <w:pPr>
        <w:pStyle w:val="Normal"/>
        <w:spacing w:before="0" w:after="200"/>
        <w:rPr/>
      </w:pPr>
      <w:r>
        <w:rPr/>
        <w:t>This documentation matters for analysis. Intent-to-treat analyses include all enrolled participants regardless of completion. Understanding why people withdrew helps interpret results and improve future studies.</w:t>
      </w:r>
    </w:p>
    <w:p>
      <w:pPr>
        <w:pStyle w:val="Normal"/>
        <w:spacing w:before="0" w:after="200"/>
        <w:rPr/>
      </w:pPr>
      <w:r>
        <w:rPr/>
        <w:t>Protocol deviations are another reality of clinical research. A visit happens outside its window. A required assessment gets missed. A prohibited medication is taken. These deviations need documentation: what happened, when, what was the impact, what corrective action was taken.</w:t>
      </w:r>
    </w:p>
    <w:p>
      <w:pPr>
        <w:pStyle w:val="Normal"/>
        <w:spacing w:before="0" w:after="200"/>
        <w:rPr/>
      </w:pPr>
      <w:r>
        <w:rPr/>
        <w:t>The CTMS provides a structured way to record deviations linked to the affected participant. Significant deviations may require reporting to ethics committees or sponsors. Having them documented in the system makes this reporting straightforward.</w:t>
      </w:r>
    </w:p>
    <w:p>
      <w:pPr>
        <w:pStyle w:val="Heading2"/>
        <w:rPr/>
      </w:pPr>
      <w:r>
        <w:rPr/>
        <w:t>Closing  (~30 seconds)</w:t>
      </w:r>
    </w:p>
    <w:p>
      <w:pPr>
        <w:pStyle w:val="Normal"/>
        <w:spacing w:before="0" w:after="200"/>
        <w:rPr/>
      </w:pPr>
      <w:r>
        <w:rPr/>
        <w:t>You've now seen how participants move through the system from first contact to enrollment and beyond. With subjects enrolled, the next step is collecting the data that will answer your research questions.</w:t>
      </w:r>
    </w:p>
    <w:p>
      <w:pPr>
        <w:pStyle w:val="Normal"/>
        <w:spacing w:before="0" w:after="200"/>
        <w:rPr/>
      </w:pPr>
      <w:r>
        <w:rPr/>
        <w:t>In the next topic, we'll explore clinical data collection: the traditional measures, assessments, and adverse event tracking that form the core of most studies.</w:t>
      </w:r>
    </w:p>
    <w:p>
      <w:pPr>
        <w:pStyle w:val="Normal"/>
        <w:rPr/>
      </w:pPr>
      <w:r>
        <w:rPr/>
      </w:r>
    </w:p>
    <w:sectPr>
      <w:type w:val="nextPage"/>
      <w:pgSz w:w="12240" w:h="15840"/>
      <w:pgMar w:left="1440" w:right="144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Arial">
    <w:charset w:val="01"/>
    <w:family w:val="roman"/>
    <w:pitch w:val="variable"/>
  </w:font>
  <w:font w:name="Arial">
    <w:charset w:val="01"/>
    <w:family w:val="swiss"/>
    <w:pitch w:val="variable"/>
  </w:font>
  <w:font w:name="Liberation Sans">
    <w:altName w:val="Arial"/>
    <w:charset w:val="01"/>
    <w:family w:val="roman"/>
    <w:pitch w:val="variable"/>
  </w:font>
</w:fonts>
</file>

<file path=word/settings.xml><?xml version="1.0" encoding="utf-8"?>
<w:settings xmlns:w="http://schemas.openxmlformats.org/wordprocessingml/2006/main">
  <w:zoom w:percent="81"/>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sz w:val="24"/>
        <w:szCs w:val="24"/>
        <w:lang w:val="en-US"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Arial" w:hAnsi="Arial" w:eastAsia="Arial" w:cs="Arial"/>
      <w:color w:val="auto"/>
      <w:kern w:val="0"/>
      <w:sz w:val="24"/>
      <w:szCs w:val="24"/>
      <w:lang w:val="en-US" w:eastAsia="zh-CN" w:bidi="hi-IN"/>
    </w:rPr>
  </w:style>
  <w:style w:type="paragraph" w:styleId="Heading1">
    <w:name w:val="Heading 1"/>
    <w:basedOn w:val="Heading"/>
    <w:qFormat/>
    <w:pPr>
      <w:spacing w:before="360" w:after="200"/>
      <w:outlineLvl w:val="0"/>
    </w:pPr>
    <w:rPr>
      <w:rFonts w:ascii="Arial" w:hAnsi="Arial" w:eastAsia="Arial" w:cs="Arial"/>
      <w:b/>
      <w:bCs/>
      <w:sz w:val="32"/>
      <w:szCs w:val="32"/>
    </w:rPr>
  </w:style>
  <w:style w:type="paragraph" w:styleId="Heading2">
    <w:name w:val="Heading 2"/>
    <w:basedOn w:val="Heading"/>
    <w:qFormat/>
    <w:pPr>
      <w:spacing w:before="280" w:after="160"/>
      <w:outlineLvl w:val="1"/>
    </w:pPr>
    <w:rPr>
      <w:rFonts w:ascii="Arial" w:hAnsi="Arial" w:eastAsia="Arial" w:cs="Arial"/>
      <w:b/>
      <w:bCs/>
      <w:sz w:val="28"/>
      <w:szCs w:val="28"/>
    </w:rPr>
  </w:style>
  <w:style w:type="paragraph" w:styleId="Heading3">
    <w:name w:val="Heading 3"/>
    <w:basedOn w:val="Heading"/>
    <w:qFormat/>
    <w:pPr/>
    <w:rPr>
      <w:color w:val="1F4D78"/>
      <w:sz w:val="24"/>
      <w:szCs w:val="24"/>
    </w:rPr>
  </w:style>
  <w:style w:type="paragraph" w:styleId="Heading4">
    <w:name w:val="Heading 4"/>
    <w:basedOn w:val="Heading"/>
    <w:qFormat/>
    <w:pPr/>
    <w:rPr>
      <w:i/>
      <w:iCs/>
      <w:color w:val="2E74B5"/>
    </w:rPr>
  </w:style>
  <w:style w:type="paragraph" w:styleId="Heading5">
    <w:name w:val="Heading 5"/>
    <w:basedOn w:val="Heading"/>
    <w:qFormat/>
    <w:pPr/>
    <w:rPr>
      <w:color w:val="2E74B5"/>
    </w:rPr>
  </w:style>
  <w:style w:type="paragraph" w:styleId="Heading6">
    <w:name w:val="Heading 6"/>
    <w:basedOn w:val="Heading"/>
    <w:qFormat/>
    <w:pPr/>
    <w:rPr>
      <w:color w:val="1F4D78"/>
    </w:rPr>
  </w:style>
  <w:style w:type="character" w:styleId="Hyperlink">
    <w:name w:val="Hyperlink"/>
    <w:uiPriority w:val="99"/>
    <w:unhideWhenUsed/>
    <w:rPr>
      <w:color w:val="0563C1"/>
      <w:u w:val="single"/>
    </w:rPr>
  </w:style>
  <w:style w:type="character" w:styleId="FootnoteCharacters">
    <w:name w:val="Footnote Characters"/>
    <w:uiPriority w:val="99"/>
    <w:semiHidden/>
    <w:unhideWhenUsed/>
    <w:qFormat/>
    <w:rPr>
      <w:vertAlign w:val="superscript"/>
    </w:rPr>
  </w:style>
  <w:style w:type="character" w:styleId="FootnoteReference">
    <w:name w:val="Footnote Reference"/>
    <w:rPr>
      <w:vertAlign w:val="superscript"/>
    </w:rPr>
  </w:style>
  <w:style w:type="character" w:styleId="FootnoteTextChar">
    <w:name w:val="Footnote Text Char"/>
    <w:link w:val="FootnoteText"/>
    <w:uiPriority w:val="99"/>
    <w:semiHidden/>
    <w:unhideWhenUsed/>
    <w:qFormat/>
    <w:rPr>
      <w:sz w:val="20"/>
      <w:szCs w:val="20"/>
    </w:rPr>
  </w:style>
  <w:style w:type="paragraph" w:styleId="Heading">
    <w:name w:val="Heading"/>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Title">
    <w:name w:val="Title"/>
    <w:basedOn w:val="Heading"/>
    <w:qFormat/>
    <w:pPr/>
    <w:rPr>
      <w:sz w:val="56"/>
      <w:szCs w:val="56"/>
    </w:rPr>
  </w:style>
  <w:style w:type="paragraph" w:styleId="StrongEmphasis">
    <w:name w:val="Strong Emphasis"/>
    <w:qFormat/>
    <w:pPr>
      <w:widowControl/>
      <w:suppressAutoHyphens w:val="true"/>
      <w:bidi w:val="0"/>
      <w:spacing w:before="0" w:after="0"/>
      <w:jc w:val="left"/>
    </w:pPr>
    <w:rPr>
      <w:rFonts w:ascii="Arial" w:hAnsi="Arial" w:eastAsia="Arial" w:cs="Arial"/>
      <w:b/>
      <w:bCs/>
      <w:color w:val="auto"/>
      <w:kern w:val="0"/>
      <w:sz w:val="24"/>
      <w:szCs w:val="24"/>
      <w:lang w:val="en-US" w:eastAsia="zh-CN" w:bidi="hi-IN"/>
    </w:rPr>
  </w:style>
  <w:style w:type="paragraph" w:styleId="ListParagraph">
    <w:name w:val="List Paragraph"/>
    <w:qFormat/>
    <w:pPr>
      <w:widowControl/>
      <w:suppressAutoHyphens w:val="true"/>
      <w:bidi w:val="0"/>
      <w:spacing w:before="0" w:after="0"/>
      <w:jc w:val="left"/>
    </w:pPr>
    <w:rPr>
      <w:rFonts w:ascii="Arial" w:hAnsi="Arial" w:eastAsia="Arial" w:cs="Arial"/>
      <w:color w:val="auto"/>
      <w:kern w:val="0"/>
      <w:sz w:val="24"/>
      <w:szCs w:val="24"/>
      <w:lang w:val="en-US" w:eastAsia="zh-CN" w:bidi="hi-IN"/>
    </w:rPr>
  </w:style>
  <w:style w:type="paragraph" w:styleId="FootnoteText">
    <w:name w:val="Footnote Text"/>
    <w:basedOn w:val="Normal"/>
    <w:link w:val="FootnoteTextChar"/>
    <w:uiPriority w:val="99"/>
    <w:semiHidden/>
    <w:unhideWhenUsed/>
    <w:pPr>
      <w:spacing w:lineRule="auto" w:line="240" w:before="0" w:after="0"/>
    </w:pPr>
    <w:rPr>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9</TotalTime>
  <Application>LibreOffice/24.2.7.2$Linux_X86_64 LibreOffice_project/420$Build-2</Application>
  <AppVersion>15.0000</AppVersion>
  <Pages>4</Pages>
  <Words>1237</Words>
  <Characters>7365</Characters>
  <CharactersWithSpaces>8560</CharactersWithSpaces>
  <Paragraphs>43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2026-01-17T20:05:22Z</dcterms:created>
  <dc:creator>Un-named</dc:creator>
  <dc:description/>
  <dc:language>en-US</dc:language>
  <cp:lastModifiedBy/>
  <dcterms:modified xsi:type="dcterms:W3CDTF">2026-01-19T06:54:41Z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