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(~30 seconds)</w:t>
      </w:r>
    </w:p>
    <w:p>
      <w:pPr>
        <w:pStyle w:val="Normal"/>
        <w:spacing w:before="0" w:after="200"/>
        <w:rPr/>
      </w:pPr>
      <w:r>
        <w:rPr/>
        <w:t>With participants enrolled and your team ready, it's time for the core activity of clinical research: collecting data.</w:t>
      </w:r>
    </w:p>
    <w:p>
      <w:pPr>
        <w:pStyle w:val="Normal"/>
        <w:spacing w:before="0" w:after="200"/>
        <w:rPr/>
      </w:pPr>
      <w:r>
        <w:rPr/>
        <w:t>Data collection is where your study design meets reality. Every measurement, every questionnaire response, every recorded event becomes part of the evidence that will answer your research questions. The quality of this data determines the quality of your conclusions.</w:t>
      </w:r>
    </w:p>
    <w:p>
      <w:pPr>
        <w:pStyle w:val="Normal"/>
        <w:spacing w:before="0" w:after="200"/>
        <w:rPr/>
      </w:pPr>
      <w:r>
        <w:rPr/>
        <w:t>In this section, we'll cover traditional clinical measures: the vital signs, laboratory values, standardized assessments, and safety data that form the backbone of most clinical studies. We'll explore how to capture this information accurately, completely, and in a way that stands up to scrutiny.</w:t>
      </w:r>
    </w:p>
    <w:p>
      <w:pPr>
        <w:pStyle w:val="Heading2"/>
        <w:rPr/>
      </w:pPr>
      <w:r>
        <w:rPr/>
        <w:t>Types of Clinical Data (~2 minutes)</w:t>
      </w:r>
    </w:p>
    <w:p>
      <w:pPr>
        <w:pStyle w:val="Normal"/>
        <w:spacing w:before="0" w:after="200"/>
        <w:rPr/>
      </w:pPr>
      <w:r>
        <w:rPr/>
        <w:t>Clinical studies collect many types of data. Understanding these categories helps you configure your CTMS appropriately and ensures nothing important is overlooked.</w:t>
      </w:r>
    </w:p>
    <w:p>
      <w:pPr>
        <w:pStyle w:val="Normal"/>
        <w:spacing w:before="0" w:after="200"/>
        <w:rPr/>
      </w:pPr>
      <w:r>
        <w:rPr/>
        <w:t>Vital signs are often the most frequently collected measurements: blood pressure, heart rate, respiratory rate, temperature, and oxygen saturation. These provide immediate physiological snapshots and can signal both efficacy and safety concerns. Your CTMS should capture not just the values but the conditions, was the participant seated or standing? Resting or post-exertion?</w:t>
      </w:r>
    </w:p>
    <w:p>
      <w:pPr>
        <w:pStyle w:val="Normal"/>
        <w:spacing w:before="0" w:after="200"/>
        <w:rPr/>
      </w:pPr>
      <w:r>
        <w:rPr/>
        <w:t>Laboratory values come from blood, urine, or other biological samples. Complete blood counts, metabolic panels, liver function tests, lipid profiles, the specific tests depend on your study's focus. Lab data often arrives from external laboratories, requiring import processes or manual transcription with careful attention to units and reference ranges.</w:t>
      </w:r>
    </w:p>
    <w:p>
      <w:pPr>
        <w:pStyle w:val="Normal"/>
        <w:spacing w:before="0" w:after="200"/>
        <w:rPr/>
      </w:pPr>
      <w:r>
        <w:rPr/>
        <w:t>Anthropometric measurements include height, weight, body mass index, waist circumference, and similar physical characteristics. These are straightforward to collect but require consistent technique, the same scale, the same measurement protocol, every time.</w:t>
      </w:r>
    </w:p>
    <w:p>
      <w:pPr>
        <w:pStyle w:val="Normal"/>
        <w:spacing w:before="0" w:after="200"/>
        <w:rPr/>
      </w:pPr>
      <w:r>
        <w:rPr/>
        <w:t>Physical examination findings document clinical observations: heart sounds, lung sounds, neurological status, skin conditions. These are often recorded as normal or abnormal with descriptive notes for abnormalities.</w:t>
      </w:r>
    </w:p>
    <w:p>
      <w:pPr>
        <w:pStyle w:val="Normal"/>
        <w:spacing w:before="0" w:after="200"/>
        <w:rPr/>
      </w:pPr>
      <w:r>
        <w:rPr/>
        <w:t>Each data type needs appropriate configuration in your CTMS: the right fields, the right units, the right validation rules to catch obvious errors at entry.</w:t>
      </w:r>
    </w:p>
    <w:p>
      <w:pPr>
        <w:pStyle w:val="Heading2"/>
        <w:rPr/>
      </w:pPr>
      <w:r>
        <w:rPr/>
        <w:t>Standardized Assessment Scales (~2 minutes)</w:t>
      </w:r>
    </w:p>
    <w:p>
      <w:pPr>
        <w:pStyle w:val="Normal"/>
        <w:spacing w:before="0" w:after="200"/>
        <w:rPr/>
      </w:pPr>
      <w:r>
        <w:rPr/>
        <w:t>Many clinical outcomes can't be measured with instruments. How severe is a patient's depression? How much does pain interfere with daily activities? How would they rate their quality of life? For these subjective but critical outcomes, we use standardized assessment scales.</w:t>
      </w:r>
    </w:p>
    <w:p>
      <w:pPr>
        <w:pStyle w:val="Normal"/>
        <w:spacing w:before="0" w:after="200"/>
        <w:rPr/>
      </w:pPr>
      <w:r>
        <w:rPr/>
        <w:t>These are validated questionnaires with established psychometric properties. The PHQ-9 measures depression severity with nine questions, each scored zero to three. The GAD-7 assesses anxiety. The SF-36 captures health-related quality of life across multiple domains. Hundreds of validated instruments exist for different conditions and outcomes.</w:t>
      </w:r>
    </w:p>
    <w:p>
      <w:pPr>
        <w:pStyle w:val="Normal"/>
        <w:spacing w:before="0" w:after="200"/>
        <w:rPr/>
      </w:pPr>
      <w:r>
        <w:rPr/>
        <w:t>Using standardized scales rather than inventing your own questions provides several advantages. The instruments have known reliability and validity. Your results can be compared to published literature. Regulatory bodies recognize established measures.</w:t>
      </w:r>
    </w:p>
    <w:p>
      <w:pPr>
        <w:pStyle w:val="Normal"/>
        <w:spacing w:before="0" w:after="200"/>
        <w:rPr/>
      </w:pPr>
      <w:r>
        <w:rPr/>
        <w:t>In the CTMS, you configure these instruments with their scoring algorithms. Enter the individual item responses, and the system calculates total scores and subscale scores automatically. It can flag scores that indicate clinical concern, a PHQ-9 score suggesting severe depression, for instance.</w:t>
      </w:r>
    </w:p>
    <w:p>
      <w:pPr>
        <w:pStyle w:val="Normal"/>
        <w:spacing w:before="0" w:after="200"/>
        <w:rPr/>
      </w:pPr>
      <w:r>
        <w:rPr/>
        <w:t>Timing matters for assessments. Some instruments are designed for specific recall periods, symptoms over the past two weeks, functioning over the past month. Administering them at the wrong intervals invalidates the results.</w:t>
      </w:r>
    </w:p>
    <w:p>
      <w:pPr>
        <w:pStyle w:val="Heading2"/>
        <w:rPr/>
      </w:pPr>
      <w:r>
        <w:rPr/>
        <w:t>Adverse Event Reporting (~2.5 minutes)</w:t>
      </w:r>
    </w:p>
    <w:p>
      <w:pPr>
        <w:pStyle w:val="Normal"/>
        <w:spacing w:before="0" w:after="200"/>
        <w:rPr/>
      </w:pPr>
      <w:r>
        <w:rPr/>
        <w:t>Adverse events are any unfavorable medical occurrences in a study participant, whether or not they're related to the study intervention. A participant catches a cold. Another sprains an ankle playing basketball. A third experiences nausea after taking the study medication. All are adverse events that require documentation.</w:t>
      </w:r>
    </w:p>
    <w:p>
      <w:pPr>
        <w:pStyle w:val="Normal"/>
        <w:spacing w:before="0" w:after="200"/>
        <w:rPr/>
      </w:pPr>
      <w:r>
        <w:rPr/>
        <w:t>For each adverse event, you capture several key elements. First, a description: what happened, in clinical terms. Second, the onset date and, if resolved, the resolution date. Third, the severity: is this mild, moderate, or severe? Severity refers to intensity, how bad is the symptom, not to seriousness, which we'll discuss shortly.</w:t>
      </w:r>
    </w:p>
    <w:p>
      <w:pPr>
        <w:pStyle w:val="Normal"/>
        <w:spacing w:before="0" w:after="200"/>
        <w:rPr/>
      </w:pPr>
      <w:r>
        <w:rPr/>
        <w:t>Fourth, you assess causality: is this event related to the study intervention? The options typically range from definitely related through probably, possibly, unlikely, to not related. This assessment requires clinical judgment, considering the timing, the known effects of the intervention, and alternative explanations.</w:t>
      </w:r>
    </w:p>
    <w:p>
      <w:pPr>
        <w:pStyle w:val="Normal"/>
        <w:spacing w:before="0" w:after="200"/>
        <w:rPr/>
      </w:pPr>
      <w:r>
        <w:rPr/>
        <w:t>Fifth, you document the outcome: did the event resolve? Is it ongoing? Did it result in lasting effects? And sixth, what action was taken: was treatment required? Was the study intervention modified?</w:t>
      </w:r>
    </w:p>
    <w:p>
      <w:pPr>
        <w:pStyle w:val="Normal"/>
        <w:spacing w:before="0" w:after="200"/>
        <w:rPr/>
      </w:pPr>
      <w:r>
        <w:rPr/>
        <w:t>The CTMS provides structured forms for capturing all these elements consistently. This isn't just documentation for documentation's sake, adverse event data is essential for understanding the safety profile of interventions and is scrutinized heavily by regulators and ethics committees.</w:t>
      </w:r>
    </w:p>
    <w:p>
      <w:pPr>
        <w:pStyle w:val="Heading2"/>
        <w:rPr/>
      </w:pPr>
      <w:r>
        <w:rPr/>
        <w:t>MedDRA Coding (~1 minute)</w:t>
      </w:r>
    </w:p>
    <w:p>
      <w:pPr>
        <w:pStyle w:val="Normal"/>
        <w:spacing w:before="0" w:after="200"/>
        <w:rPr/>
      </w:pPr>
      <w:r>
        <w:rPr/>
        <w:t>When you describe adverse events in free text, the same condition might be recorded many different ways. One investigator writes 'headache,' another writes 'cephalalgia,' a third writes 'head pain.' For analysis and regulatory reporting, we need standardized terminology.</w:t>
      </w:r>
    </w:p>
    <w:p>
      <w:pPr>
        <w:pStyle w:val="Normal"/>
        <w:spacing w:before="0" w:after="200"/>
        <w:rPr/>
      </w:pPr>
      <w:r>
        <w:rPr/>
        <w:t>MedDRA, the Medical Dictionary for Regulatory Activities, provides this standardization. It's a hierarchical coding system where specific terms roll up into broader categories. Your three headache descriptions all map to the same MedDRA preferred term.</w:t>
      </w:r>
    </w:p>
    <w:p>
      <w:pPr>
        <w:pStyle w:val="Normal"/>
        <w:spacing w:before="0" w:after="200"/>
        <w:rPr/>
      </w:pPr>
      <w:r>
        <w:rPr/>
        <w:t>Some CTMS platforms include MedDRA coding functionality, allowing you to search for terms and assign standardized codes to adverse events. Others export data for coding in separate systems. Either way, the goal is consistent, analyzable safety data.</w:t>
      </w:r>
    </w:p>
    <w:p>
      <w:pPr>
        <w:pStyle w:val="Heading2"/>
        <w:rPr/>
      </w:pPr>
      <w:r>
        <w:rPr/>
        <w:t>Data Quality and Traceability (~1.5 minutes)</w:t>
      </w:r>
    </w:p>
    <w:p>
      <w:pPr>
        <w:pStyle w:val="Normal"/>
        <w:spacing w:before="0" w:after="200"/>
        <w:rPr/>
      </w:pPr>
      <w:r>
        <w:rPr/>
        <w:t>High-quality data is accurate, complete, consistent, and traceable. The CTMS supports quality through multiple mechanisms.</w:t>
      </w:r>
    </w:p>
    <w:p>
      <w:pPr>
        <w:pStyle w:val="Normal"/>
        <w:spacing w:before="0" w:after="200"/>
        <w:rPr/>
      </w:pPr>
      <w:r>
        <w:rPr/>
        <w:t>Validation rules catch errors at entry. A systolic blood pressure of 300 triggers a warning. A visit date in the future gets rejected. Required fields must be completed before the form can be saved. These immediate checks prevent many errors from entering the database.</w:t>
      </w:r>
    </w:p>
    <w:p>
      <w:pPr>
        <w:pStyle w:val="Normal"/>
        <w:spacing w:before="0" w:after="200"/>
        <w:rPr/>
      </w:pPr>
      <w:r>
        <w:rPr/>
        <w:t>Edit checks run across the dataset, identifying logical inconsistencies. A resolution date before an onset date. A pregnancy test result for a male participant. An impossibly large weight change between visits. These cross-field and cross-form checks supplement single-field validation.</w:t>
      </w:r>
    </w:p>
    <w:p>
      <w:pPr>
        <w:pStyle w:val="Heading2"/>
        <w:rPr/>
      </w:pPr>
      <w:r>
        <w:rPr/>
        <w:t>Closing (~30 seconds)</w:t>
      </w:r>
    </w:p>
    <w:p>
      <w:pPr>
        <w:pStyle w:val="Normal"/>
        <w:spacing w:before="0" w:after="200"/>
        <w:rPr/>
      </w:pPr>
      <w:r>
        <w:rPr/>
        <w:t>You've now seen how traditional clinical data flows into the system, structured, validated, and ready for analysis. But modern studies often include another category of data entirely: digital biomarkers from wearable devices, imaging such as MRI scans and high-frequency physiological recordings.</w:t>
      </w:r>
    </w:p>
    <w:p>
      <w:pPr>
        <w:pStyle w:val="Normal"/>
        <w:spacing w:before="0" w:after="200"/>
        <w:rPr/>
      </w:pPr>
      <w:r>
        <w:rPr/>
        <w:t>In the next topic, we'll explore how these newer data types integrate with your CTMS and the unique challenges they present.</w:t>
      </w:r>
    </w:p>
    <w:p>
      <w:pPr>
        <w:pStyle w:val="Normal"/>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17</TotalTime>
  <Application>LibreOffice/24.2.7.2$Linux_X86_64 LibreOffice_project/420$Build-2</Application>
  <AppVersion>15.0000</AppVersion>
  <Pages>3</Pages>
  <Words>1015</Words>
  <Characters>6174</Characters>
  <CharactersWithSpaces>7155</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2026-01-18T01:54:34Z</dcterms:created>
  <dc:creator>Un-named</dc:creator>
  <dc:description/>
  <dc:language>en-US</dc:language>
  <cp:lastModifiedBy/>
  <dcterms:modified xsi:type="dcterms:W3CDTF">2026-01-18T17:05:16Z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