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before="280" w:after="160"/>
        <w:rPr/>
      </w:pPr>
      <w:r>
        <w:rPr/>
        <w:t>Opening (~30 seconds)</w:t>
      </w:r>
    </w:p>
    <w:p>
      <w:pPr>
        <w:pStyle w:val="Normal"/>
        <w:spacing w:before="0" w:after="200"/>
        <w:rPr/>
      </w:pPr>
      <w:r>
        <w:rPr/>
        <w:t>Traditional clinical measures give us snapshots, a blood pressure reading at a clinic visit, a questionnaire completed once a week. But what happens between those snapshots? What patterns emerge over hours, days, or weeks that a periodic assessment would miss?</w:t>
      </w:r>
    </w:p>
    <w:p>
      <w:pPr>
        <w:pStyle w:val="Normal"/>
        <w:spacing w:before="0" w:after="200"/>
        <w:rPr/>
      </w:pPr>
      <w:r>
        <w:rPr/>
        <w:t>This is where digital biomarkers come in. Wearable devices, smartphone sensors, and physiological monitors can capture data continuously or at high frequency, revealing patterns that traditional measures simply cannot detect.</w:t>
      </w:r>
    </w:p>
    <w:p>
      <w:pPr>
        <w:pStyle w:val="Normal"/>
        <w:spacing w:before="0" w:after="200"/>
        <w:rPr/>
      </w:pPr>
      <w:r>
        <w:rPr/>
        <w:t>In this section, we'll explore how these newer data types integrate with clinical trial management and the unique challenges they present.</w:t>
      </w:r>
    </w:p>
    <w:p>
      <w:pPr>
        <w:pStyle w:val="Heading2"/>
        <w:rPr/>
      </w:pPr>
      <w:r>
        <w:rPr/>
        <w:t>What Are Digital Biomarkers? (~1.5 minutes)</w:t>
      </w:r>
    </w:p>
    <w:p>
      <w:pPr>
        <w:pStyle w:val="Normal"/>
        <w:spacing w:before="0" w:after="200"/>
        <w:rPr/>
      </w:pPr>
      <w:r>
        <w:rPr/>
        <w:t>A digital biomarker is an objective, quantifiable measure of physiology or behavior collected through digital devices. Unlike traditional biomarkers measured in a lab, digital biomarkers are typically collected passively and continuously in real-world settings.</w:t>
      </w:r>
    </w:p>
    <w:p>
      <w:pPr>
        <w:pStyle w:val="Normal"/>
        <w:spacing w:before="0" w:after="200"/>
        <w:rPr/>
      </w:pPr>
      <w:r>
        <w:rPr/>
        <w:t>Consider heart rate. A traditional measure might be a single reading taken by a nurse during a clinic visit. A digital biomarker approach captures heart rate continuously via a wearable device, during sleep, during activity, during stress. This continuous stream reveals resting heart rate trends, heart rate variability, recovery patterns after exertion, and nighttime fluctuations that a single clinic measurement would never show.</w:t>
      </w:r>
    </w:p>
    <w:p>
      <w:pPr>
        <w:pStyle w:val="Normal"/>
        <w:spacing w:before="0" w:after="200"/>
        <w:rPr/>
      </w:pPr>
      <w:r>
        <w:rPr/>
        <w:t>Digital biomarkers can capture physiological signals like heart rate, skin conductance, and temperature. They can track movement patterns through accelerometry and GPS. They can monitor sleep architecture, activity levels, and even subtle changes in voice or typing patterns that might indicate cognitive or emotional states.</w:t>
      </w:r>
    </w:p>
    <w:p>
      <w:pPr>
        <w:pStyle w:val="Normal"/>
        <w:spacing w:before="0" w:after="200"/>
        <w:rPr/>
      </w:pPr>
      <w:r>
        <w:rPr/>
        <w:t>The appeal is clear: more data, collected more often, in more natural settings. But this abundance comes with challenges in storage, processing, quality control, and interpretation.</w:t>
      </w:r>
    </w:p>
    <w:p>
      <w:pPr>
        <w:pStyle w:val="Heading2"/>
        <w:rPr/>
      </w:pPr>
      <w:r>
        <w:rPr/>
        <w:t>Wearable Devices in Clinical Research (~2 minutes)</w:t>
      </w:r>
    </w:p>
    <w:p>
      <w:pPr>
        <w:pStyle w:val="Normal"/>
        <w:spacing w:before="0" w:after="200"/>
        <w:rPr/>
      </w:pPr>
      <w:r>
        <w:rPr/>
        <w:t>Wearable devices have become commonplace in clinical research. They range from consumer-grade fitness trackers to research-grade physiological monitors, each with different capabilities, accuracy levels, and data access options.</w:t>
      </w:r>
    </w:p>
    <w:p>
      <w:pPr>
        <w:pStyle w:val="Normal"/>
        <w:spacing w:before="0" w:after="200"/>
        <w:rPr/>
      </w:pPr>
      <w:r>
        <w:rPr/>
        <w:t>Consumer devices like Fitbit, Apple Watch, or Garmin trackers are familiar to participants and relatively inexpensive. They typically provide derived metrics, step counts, estimated sleep duration, activity minutes, rather than raw sensor data. Data access may be limited to what the manufacturer's API provides, and algorithms for calculating metrics are often proprietary and may change with firmware updates.</w:t>
      </w:r>
    </w:p>
    <w:p>
      <w:pPr>
        <w:pStyle w:val="Normal"/>
        <w:spacing w:before="0" w:after="200"/>
        <w:rPr/>
      </w:pPr>
      <w:r>
        <w:rPr/>
        <w:t>Research-grade devices like the Empatica E4 or Actigraph are designed specifically for scientific use. They provide access to raw sensor data, the actual accelerometer readings, the photoplethysmography waveforms, the electrodermal activity signals. They often have better documentation of sensor specifications, known sampling rates, and more consistent behavior across firmware versions.</w:t>
      </w:r>
    </w:p>
    <w:p>
      <w:pPr>
        <w:pStyle w:val="Normal"/>
        <w:spacing w:before="0" w:after="200"/>
        <w:rPr/>
      </w:pPr>
      <w:r>
        <w:rPr/>
        <w:t>Common signals from wearables include heart rate and heart rate variability from optical sensors, electrodermal activity measuring skin conductance related to sympathetic nervous system activation, skin temperature, and three-axis accelerometry capturing movement in all directions.</w:t>
      </w:r>
    </w:p>
    <w:p>
      <w:pPr>
        <w:pStyle w:val="Normal"/>
        <w:spacing w:before="0" w:after="200"/>
        <w:rPr/>
      </w:pPr>
      <w:r>
        <w:rPr/>
        <w:t>When selecting devices for your study, consider: What signals do you actually need? What level of data access is required? How will participants interact with the device daily? What's the battery life and charging routine? How will data be transferred to your systems?</w:t>
      </w:r>
    </w:p>
    <w:p>
      <w:pPr>
        <w:pStyle w:val="Heading2"/>
        <w:rPr/>
      </w:pPr>
      <w:r>
        <w:rPr/>
        <w:t>Neurophysiological Data: EEG and Beyond (~1.5 minutes)</w:t>
      </w:r>
    </w:p>
    <w:p>
      <w:pPr>
        <w:pStyle w:val="Normal"/>
        <w:spacing w:before="0" w:after="200"/>
        <w:rPr/>
      </w:pPr>
      <w:r>
        <w:rPr/>
        <w:t>Some studies collect neurophysiological data, electrical activity from the brain or muscles. Electroencephalography, or EEG, records brain electrical activity through scalp electrodes. This high-frequency data presents its own challenges.</w:t>
      </w:r>
    </w:p>
    <w:p>
      <w:pPr>
        <w:pStyle w:val="Normal"/>
        <w:spacing w:before="0" w:after="200"/>
        <w:rPr/>
      </w:pPr>
      <w:r>
        <w:rPr/>
        <w:t>EEG data is typically stored in specialized formats. EDF, the European Data Format, is common and includes both the signal data and header information describing the recording setup. BDF, BioSemi Data Format, handles higher-resolution recordings. These formats embed metadata about sampling rates, channel configurations, and recording parameters.</w:t>
      </w:r>
    </w:p>
    <w:p>
      <w:pPr>
        <w:pStyle w:val="Normal"/>
        <w:spacing w:before="0" w:after="200"/>
        <w:rPr/>
      </w:pPr>
      <w:r>
        <w:rPr/>
        <w:t>The data volumes are substantial. A 64-channel EEG recording at 512 samples per second generates about 125 kilobytes of raw data every second, roughly 450 megabytes per hour. A week of ambulatory EEG monitoring produces gigabytes of data per participant.</w:t>
      </w:r>
    </w:p>
    <w:p>
      <w:pPr>
        <w:pStyle w:val="Normal"/>
        <w:spacing w:before="0" w:after="200"/>
        <w:rPr/>
      </w:pPr>
      <w:r>
        <w:rPr/>
        <w:t>Beyond storage, EEG requires preprocessing before analysis: filtering out electrical noise, identifying and removing artifacts from eye blinks and muscle movements, potentially re-referencing channels. This preprocessing pipeline needs documentation and often requires specialized software.</w:t>
      </w:r>
    </w:p>
    <w:p>
      <w:pPr>
        <w:pStyle w:val="Normal"/>
        <w:spacing w:before="0" w:after="200"/>
        <w:rPr/>
      </w:pPr>
      <w:r>
        <w:rPr/>
        <w:t>The CTMS may not process this data directly but needs to catalog it, link it to the right participant and timepoint, and track its quality status through preprocessing stages.</w:t>
      </w:r>
    </w:p>
    <w:p>
      <w:pPr>
        <w:pStyle w:val="Heading2"/>
        <w:rPr/>
      </w:pPr>
      <w:r>
        <w:rPr/>
        <w:t>Ingesting High-Frequency Data into the CTMS (~1.5 minutes)</w:t>
      </w:r>
    </w:p>
    <w:p>
      <w:pPr>
        <w:pStyle w:val="Normal"/>
        <w:spacing w:before="0" w:after="200"/>
        <w:rPr/>
      </w:pPr>
      <w:r>
        <w:rPr/>
        <w:t>How does all this data actually get into your clinical trial management system?</w:t>
      </w:r>
    </w:p>
    <w:p>
      <w:pPr>
        <w:pStyle w:val="Normal"/>
        <w:spacing w:before="0" w:after="200"/>
        <w:rPr/>
      </w:pPr>
      <w:r>
        <w:rPr/>
        <w:t>Some CTMS platforms have direct integrations with specific devices or platforms. If your wearable syncs to a cloud service, the CTMS might pull data via API, automatically linking it to the correct participant. This is convenient when available but depends on the specific devices and CTMS you're using.</w:t>
      </w:r>
    </w:p>
    <w:p>
      <w:pPr>
        <w:pStyle w:val="Normal"/>
        <w:spacing w:before="0" w:after="200"/>
        <w:rPr/>
      </w:pPr>
      <w:r>
        <w:rPr/>
        <w:t>More commonly, high-frequency data is managed in parallel systems. The wearable data flows to a dedicated platform, perhaps the device manufacturer's cloud, or a specialized digital biomarker platform, while the CTMS maintains references to that data. The CTMS knows that participant S-042 has wearable data for weeks 1 through 8, stored in the external system, even if the raw data itself lives elsewhere.</w:t>
      </w:r>
    </w:p>
    <w:p>
      <w:pPr>
        <w:pStyle w:val="Normal"/>
        <w:spacing w:before="0" w:after="200"/>
        <w:rPr/>
      </w:pPr>
      <w:r>
        <w:rPr/>
        <w:t>Summary metrics can bridge the gap. Rather than importing every heart rate reading, you might import daily averages, sleep duration estimates, or activity scores. These derived metrics are small enough to store directly in the CTMS and can be analyzed alongside traditional measures.</w:t>
      </w:r>
    </w:p>
    <w:p>
      <w:pPr>
        <w:pStyle w:val="Normal"/>
        <w:spacing w:before="0" w:after="200"/>
        <w:rPr/>
      </w:pPr>
      <w:r>
        <w:rPr/>
        <w:t>Whatever the approach, participant linkage is essential. Every piece of digital data must trace back to the correct study participant, the correct time period, and the correct visit or collection window in your study design.</w:t>
      </w:r>
    </w:p>
    <w:p>
      <w:pPr>
        <w:pStyle w:val="Heading2"/>
        <w:rPr/>
      </w:pPr>
      <w:r>
        <w:rPr/>
        <w:t>Closing (~30 seconds)</w:t>
      </w:r>
    </w:p>
    <w:p>
      <w:pPr>
        <w:pStyle w:val="Normal"/>
        <w:spacing w:before="0" w:after="200"/>
        <w:rPr>
          <w:i/>
          <w:i/>
          <w:iCs/>
        </w:rPr>
      </w:pPr>
      <w:r>
        <w:rPr/>
        <w:t>Let's see how digital biomarker data appears in the system.</w:t>
      </w:r>
    </w:p>
    <w:p>
      <w:pPr>
        <w:pStyle w:val="Normal"/>
        <w:spacing w:before="0" w:after="200"/>
        <w:rPr/>
      </w:pPr>
      <w:r>
        <w:rPr/>
        <w:t>Digital biomarkers represent an exciting frontier in clinical research, objective, continuous, real-world data that complements traditional measures. Managing this data requires new approaches, but the insights can be worth the effort.</w:t>
      </w:r>
    </w:p>
    <w:p>
      <w:pPr>
        <w:pStyle w:val="Normal"/>
        <w:spacing w:before="0" w:after="200"/>
        <w:rPr/>
      </w:pPr>
      <w:r>
        <w:rPr/>
        <w:t>With data flowing into your system from both traditional and digital sources, the next question is: how do you monitor whether your study is on track? In the next topic, we'll explore study progress monitoring, tracking enrollment, retention, data quality, and overall study health.</w:t>
      </w:r>
    </w:p>
    <w:p>
      <w:pPr>
        <w:pStyle w:val="Normal"/>
        <w:rPr/>
      </w:pPr>
      <w:r>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Arial">
    <w:charset w:val="01"/>
    <w:family w:val="swiss"/>
    <w:pitch w:val="variable"/>
  </w:font>
  <w:font w:name="Liberation Sans">
    <w:altName w:val="Arial"/>
    <w:charset w:val="01"/>
    <w:family w:val="roman"/>
    <w:pitch w:val="variable"/>
  </w:font>
</w:fonts>
</file>

<file path=word/settings.xml><?xml version="1.0" encoding="utf-8"?>
<w:settings xmlns:w="http://schemas.openxmlformats.org/wordprocessingml/2006/main">
  <w:zoom w:percent="81"/>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Arial" w:hAnsi="Arial" w:eastAsia="Arial" w:cs="Arial"/>
      <w:color w:val="auto"/>
      <w:kern w:val="0"/>
      <w:sz w:val="24"/>
      <w:szCs w:val="24"/>
      <w:lang w:val="en-US" w:eastAsia="zh-CN" w:bidi="hi-IN"/>
    </w:rPr>
  </w:style>
  <w:style w:type="paragraph" w:styleId="Heading1">
    <w:name w:val="Heading 1"/>
    <w:basedOn w:val="Heading"/>
    <w:qFormat/>
    <w:pPr>
      <w:spacing w:before="360" w:after="200"/>
      <w:outlineLvl w:val="0"/>
    </w:pPr>
    <w:rPr>
      <w:rFonts w:ascii="Arial" w:hAnsi="Arial" w:eastAsia="Arial" w:cs="Arial"/>
      <w:b/>
      <w:bCs/>
      <w:sz w:val="32"/>
      <w:szCs w:val="32"/>
    </w:rPr>
  </w:style>
  <w:style w:type="paragraph" w:styleId="Heading2">
    <w:name w:val="Heading 2"/>
    <w:basedOn w:val="Heading"/>
    <w:qFormat/>
    <w:pPr>
      <w:spacing w:before="280" w:after="160"/>
      <w:outlineLvl w:val="1"/>
    </w:pPr>
    <w:rPr>
      <w:rFonts w:ascii="Arial" w:hAnsi="Arial" w:eastAsia="Arial" w:cs="Arial"/>
      <w:b/>
      <w:bCs/>
      <w:sz w:val="28"/>
      <w:szCs w:val="28"/>
    </w:rPr>
  </w:style>
  <w:style w:type="paragraph" w:styleId="Heading3">
    <w:name w:val="Heading 3"/>
    <w:basedOn w:val="Heading"/>
    <w:qFormat/>
    <w:pPr/>
    <w:rPr>
      <w:color w:val="1F4D78"/>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Heading"/>
    <w:qFormat/>
    <w:pPr/>
    <w:rPr>
      <w:sz w:val="56"/>
      <w:szCs w:val="56"/>
    </w:rPr>
  </w:style>
  <w:style w:type="paragraph" w:styleId="StrongEmphasis">
    <w:name w:val="Strong Emphasis"/>
    <w:qFormat/>
    <w:pPr>
      <w:widowControl/>
      <w:suppressAutoHyphens w:val="true"/>
      <w:bidi w:val="0"/>
      <w:spacing w:before="0" w:after="0"/>
      <w:jc w:val="left"/>
    </w:pPr>
    <w:rPr>
      <w:rFonts w:ascii="Arial" w:hAnsi="Arial" w:eastAsia="Arial" w:cs="Arial"/>
      <w:b/>
      <w:bCs/>
      <w:color w:val="auto"/>
      <w:kern w:val="0"/>
      <w:sz w:val="24"/>
      <w:szCs w:val="24"/>
      <w:lang w:val="en-US" w:eastAsia="zh-CN" w:bidi="hi-IN"/>
    </w:rPr>
  </w:style>
  <w:style w:type="paragraph" w:styleId="ListParagraph">
    <w:name w:val="List Paragraph"/>
    <w:qFormat/>
    <w:pPr>
      <w:widowControl/>
      <w:suppressAutoHyphens w:val="true"/>
      <w:bidi w:val="0"/>
      <w:spacing w:before="0" w:after="0"/>
      <w:jc w:val="left"/>
    </w:pPr>
    <w:rPr>
      <w:rFonts w:ascii="Arial" w:hAnsi="Arial" w:eastAsia="Arial" w:cs="Arial"/>
      <w:color w:val="auto"/>
      <w:kern w:val="0"/>
      <w:sz w:val="24"/>
      <w:szCs w:val="24"/>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LibreOffice/24.2.7.2$Linux_X86_64 LibreOffice_project/420$Build-2</Application>
  <AppVersion>15.0000</AppVersion>
  <Pages>3</Pages>
  <Words>973</Words>
  <Characters>5881</Characters>
  <CharactersWithSpaces>6823</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2026-01-18T08:06:45Z</dcterms:created>
  <dc:creator>Un-named</dc:creator>
  <dc:description/>
  <dc:language>en-US</dc:language>
  <cp:lastModifiedBy/>
  <dcterms:modified xsi:type="dcterms:W3CDTF">2026-01-19T06:55:29Z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